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F746CDB"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r w:rsidR="006328EF" w:rsidRPr="006328EF">
        <w:rPr>
          <w:bCs/>
          <w:noProof w:val="0"/>
          <w:sz w:val="24"/>
          <w:szCs w:val="24"/>
        </w:rPr>
        <w:t>R2-1810031</w:t>
      </w:r>
    </w:p>
    <w:p w14:paraId="231362B2" w14:textId="4747DDB4" w:rsidR="00CD4C7B" w:rsidRPr="00B266B0" w:rsidRDefault="002610D8" w:rsidP="00CD4C7B">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1F9B36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F66D7" w:rsidRPr="008F66D7">
        <w:rPr>
          <w:rFonts w:cs="Arial"/>
          <w:b/>
          <w:bCs/>
          <w:sz w:val="24"/>
        </w:rPr>
        <w:t>10.4.1.3.1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82805B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023BF">
        <w:rPr>
          <w:rFonts w:ascii="Arial" w:hAnsi="Arial" w:cs="Arial"/>
          <w:b/>
          <w:bCs/>
          <w:sz w:val="24"/>
        </w:rPr>
        <w:t>Clarifications to BWP</w:t>
      </w:r>
      <w:r w:rsidR="008F66D7">
        <w:rPr>
          <w:rFonts w:ascii="Arial" w:hAnsi="Arial" w:cs="Arial"/>
          <w:b/>
          <w:bCs/>
          <w:sz w:val="24"/>
        </w:rPr>
        <w:t xml:space="preserve"> common to EN-DC and SA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A6B8853" w:rsidR="00CD4C7B" w:rsidRPr="006E13D1" w:rsidRDefault="008F66D7" w:rsidP="00CD4C7B">
      <w:r>
        <w:t>Bandwidth parts have been discussed extensively in RAN2, but mostly from NSA viewpoint since they have been assumed to be common. However, there are still some aspects common to EN-DC and NR SA that seem to be unclear, based on the latest review of RRC. In this contribution, we discuss the BWP aspects common to EN-DC and SA.</w:t>
      </w:r>
    </w:p>
    <w:p w14:paraId="5FF0E443" w14:textId="06D54628" w:rsidR="00CD4C7B" w:rsidRPr="006E13D1" w:rsidRDefault="008F66D7" w:rsidP="00CD4C7B">
      <w:pPr>
        <w:pStyle w:val="Heading1"/>
      </w:pPr>
      <w:r>
        <w:t>2</w:t>
      </w:r>
      <w:r w:rsidR="00CD4C7B" w:rsidRPr="006E13D1">
        <w:tab/>
      </w:r>
      <w:r w:rsidR="00BF09FB">
        <w:t>Clarifications to BWP functionalities</w:t>
      </w:r>
      <w:r w:rsidR="00CD4C7B" w:rsidRPr="006E13D1">
        <w:t xml:space="preserve"> </w:t>
      </w:r>
      <w:r w:rsidR="00D67F8F">
        <w:t>for EN-DC</w:t>
      </w:r>
    </w:p>
    <w:p w14:paraId="4800E29C" w14:textId="0A245135" w:rsidR="00DD77FA" w:rsidRPr="006E13D1" w:rsidRDefault="008F66D7" w:rsidP="00DD77FA">
      <w:pPr>
        <w:pStyle w:val="Heading2"/>
      </w:pPr>
      <w:r>
        <w:t>2</w:t>
      </w:r>
      <w:r w:rsidR="00DD77FA" w:rsidRPr="006E13D1">
        <w:t>.</w:t>
      </w:r>
      <w:r w:rsidR="00DD77FA">
        <w:t>1</w:t>
      </w:r>
      <w:r w:rsidR="00DD77FA" w:rsidRPr="006E13D1">
        <w:tab/>
      </w:r>
      <w:r w:rsidR="00B85FFA">
        <w:t>Initial BWP configuration for handover and P/SCell addition</w:t>
      </w:r>
    </w:p>
    <w:p w14:paraId="651A472E" w14:textId="77777777" w:rsidR="00B85FFA" w:rsidRDefault="00B85FFA" w:rsidP="00B85FFA">
      <w:r w:rsidRPr="00B85FFA">
        <w:rPr>
          <w:lang w:val="en-US"/>
        </w:rPr>
        <w:t xml:space="preserve">RAN2 sent LS </w:t>
      </w:r>
      <w:hyperlink r:id="rId12" w:history="1">
        <w:r w:rsidRPr="00B85FFA">
          <w:rPr>
            <w:rStyle w:val="Hyperlink"/>
            <w:lang w:val="en-US"/>
          </w:rPr>
          <w:t>R2-1808990</w:t>
        </w:r>
      </w:hyperlink>
      <w:r w:rsidRPr="00B85FFA">
        <w:rPr>
          <w:lang w:val="en-US"/>
        </w:rPr>
        <w:t xml:space="preserve"> to RAN1 to request help on how to configu</w:t>
      </w:r>
      <w:r>
        <w:rPr>
          <w:lang w:val="en-US"/>
        </w:rPr>
        <w:t xml:space="preserve">re </w:t>
      </w:r>
      <w:r w:rsidRPr="00B85FFA">
        <w:rPr>
          <w:lang w:val="en-US"/>
        </w:rPr>
        <w:t>BWPs for UEs only supporting RRC-based BWP changes</w:t>
      </w:r>
      <w:r>
        <w:t>, with the following two options presented:</w:t>
      </w:r>
    </w:p>
    <w:p w14:paraId="3F323F22" w14:textId="77777777" w:rsidR="00B85FFA" w:rsidRDefault="00B85FFA" w:rsidP="00B85FFA">
      <w:pPr>
        <w:ind w:left="284"/>
      </w:pPr>
      <w:r w:rsidRPr="00B85FFA">
        <w:rPr>
          <w:b/>
          <w:lang w:val="en-US"/>
        </w:rPr>
        <w:t>Option 1:</w:t>
      </w:r>
      <w:r w:rsidRPr="00B85FFA">
        <w:rPr>
          <w:lang w:val="en-US"/>
        </w:rPr>
        <w:t xml:space="preserve"> </w:t>
      </w:r>
      <w:r w:rsidRPr="00B85FFA">
        <w:rPr>
          <w:i/>
          <w:iCs/>
          <w:lang w:val="en-US"/>
        </w:rPr>
        <w:t xml:space="preserve">BWP-DownlinkCommon/UplinkCommon </w:t>
      </w:r>
      <w:r w:rsidRPr="00B85FFA">
        <w:rPr>
          <w:lang w:val="en-US"/>
        </w:rPr>
        <w:t xml:space="preserve">for </w:t>
      </w:r>
      <w:r w:rsidRPr="00B85FFA">
        <w:rPr>
          <w:i/>
          <w:iCs/>
          <w:lang w:val="en-US"/>
        </w:rPr>
        <w:t xml:space="preserve">initialDownlink/UplinkBWP </w:t>
      </w:r>
      <w:r w:rsidRPr="00B85FFA">
        <w:rPr>
          <w:lang w:val="en-US"/>
        </w:rPr>
        <w:t>(BWP ID #0) plus BWP-Downlink/Uplink for one configured downlink/uplinkBWP (BWP ID #1);</w:t>
      </w:r>
    </w:p>
    <w:p w14:paraId="2127110B" w14:textId="752183A2" w:rsidR="00B85FFA" w:rsidRDefault="00B85FFA" w:rsidP="00B85FFA">
      <w:pPr>
        <w:ind w:left="284"/>
      </w:pPr>
      <w:r w:rsidRPr="00B85FFA">
        <w:rPr>
          <w:b/>
          <w:lang w:val="en-US"/>
        </w:rPr>
        <w:t>Option 2:</w:t>
      </w:r>
      <w:r w:rsidRPr="00B85FFA">
        <w:rPr>
          <w:lang w:val="en-US"/>
        </w:rPr>
        <w:t xml:space="preserve"> </w:t>
      </w:r>
      <w:r w:rsidRPr="00B85FFA">
        <w:rPr>
          <w:i/>
          <w:iCs/>
          <w:lang w:val="en-US"/>
        </w:rPr>
        <w:t xml:space="preserve">BWP-DownlinkCommon/UplinkCommon </w:t>
      </w:r>
      <w:r w:rsidRPr="00B85FFA">
        <w:rPr>
          <w:lang w:val="en-US"/>
        </w:rPr>
        <w:t xml:space="preserve">and </w:t>
      </w:r>
      <w:r w:rsidRPr="00B85FFA">
        <w:rPr>
          <w:i/>
          <w:iCs/>
          <w:lang w:val="en-US"/>
        </w:rPr>
        <w:t xml:space="preserve">BWP-DownlinkDedicated/UplinkDedicated </w:t>
      </w:r>
      <w:r w:rsidRPr="00B85FFA">
        <w:rPr>
          <w:lang w:val="en-US"/>
        </w:rPr>
        <w:t xml:space="preserve">for </w:t>
      </w:r>
      <w:r w:rsidRPr="00B85FFA">
        <w:rPr>
          <w:i/>
          <w:iCs/>
          <w:lang w:val="en-US"/>
        </w:rPr>
        <w:t xml:space="preserve">initialDownlink/UplinkBWP </w:t>
      </w:r>
      <w:r w:rsidRPr="00B85FFA">
        <w:rPr>
          <w:lang w:val="en-US"/>
        </w:rPr>
        <w:t>(BWP ID #0).</w:t>
      </w:r>
    </w:p>
    <w:p w14:paraId="4437A080" w14:textId="570FEA46" w:rsidR="00B85FFA" w:rsidRDefault="00B85FFA" w:rsidP="00B85FFA">
      <w:r>
        <w:t xml:space="preserve">RAN2 has now received reply LS from RAN1 on “bandwidth configuration for initial BWP” in </w:t>
      </w:r>
      <w:hyperlink r:id="rId13" w:history="1">
        <w:r>
          <w:rPr>
            <w:rStyle w:val="Hyperlink"/>
          </w:rPr>
          <w:t>R1-1807873</w:t>
        </w:r>
      </w:hyperlink>
      <w:r>
        <w:t>, which indicates the following:</w:t>
      </w:r>
    </w:p>
    <w:p w14:paraId="65C9833B" w14:textId="1DA9919A" w:rsidR="00B85FFA" w:rsidRDefault="00B85FFA" w:rsidP="00B85FFA">
      <w:pPr>
        <w:pStyle w:val="ListParagraph"/>
        <w:numPr>
          <w:ilvl w:val="0"/>
          <w:numId w:val="8"/>
        </w:numPr>
      </w:pPr>
      <w:r>
        <w:t>Both option 1 and option 2 could be possible in RAN1</w:t>
      </w:r>
    </w:p>
    <w:p w14:paraId="0D4390E6" w14:textId="74901EBC" w:rsidR="00B85FFA" w:rsidRDefault="000D6E0B" w:rsidP="00B85FFA">
      <w:pPr>
        <w:pStyle w:val="ListParagraph"/>
        <w:numPr>
          <w:ilvl w:val="0"/>
          <w:numId w:val="8"/>
        </w:numPr>
      </w:pPr>
      <w:r>
        <w:t xml:space="preserve">Option 1 is already compatible with RAN1 specifications, but </w:t>
      </w:r>
      <w:r w:rsidR="00B85FFA">
        <w:t>Option 2 may require some RAN1 modifications</w:t>
      </w:r>
      <w:r w:rsidR="00362795">
        <w:t>, at least DCI format 1_0 and 0_0 is dependent on initial DL BWP, therefore not having initial DL BWP or ha</w:t>
      </w:r>
      <w:r w:rsidR="00532D1E">
        <w:t>v</w:t>
      </w:r>
      <w:r w:rsidR="00362795">
        <w:t>ing initial DL BWP greater than CORESET#0 in serving cell would break the RAN1 specification. There could be also other aspects in RAN1 specification</w:t>
      </w:r>
      <w:r w:rsidR="008C1BFF">
        <w:t>,</w:t>
      </w:r>
      <w:r w:rsidR="00362795">
        <w:t xml:space="preserve"> which </w:t>
      </w:r>
      <w:r w:rsidR="008C1BFF">
        <w:t xml:space="preserve">would </w:t>
      </w:r>
      <w:r w:rsidR="00B85FFA">
        <w:t xml:space="preserve">require </w:t>
      </w:r>
      <w:r w:rsidR="00362795">
        <w:t>further investigations</w:t>
      </w:r>
      <w:r w:rsidR="008C1BFF">
        <w:t xml:space="preserve"> as RAN1 only did a cursory evaluation so far.</w:t>
      </w:r>
    </w:p>
    <w:p w14:paraId="1B77B136" w14:textId="476DAC97" w:rsidR="00B85FFA" w:rsidRDefault="00B85FFA" w:rsidP="00B85FFA">
      <w:pPr>
        <w:pStyle w:val="ListParagraph"/>
        <w:numPr>
          <w:ilvl w:val="0"/>
          <w:numId w:val="8"/>
        </w:numPr>
      </w:pPr>
      <w:r>
        <w:t>It is up</w:t>
      </w:r>
      <w:r w:rsidR="008C1BFF">
        <w:t xml:space="preserve"> to RAN2 which option to choose for the signalling (i.e. RAN1 did not provide a clear preference)</w:t>
      </w:r>
    </w:p>
    <w:p w14:paraId="0C19719A" w14:textId="5CDC529D" w:rsidR="008F66D7" w:rsidRDefault="00B85FFA" w:rsidP="00B85FFA">
      <w:r>
        <w:t xml:space="preserve">We make the following quick observation based on the </w:t>
      </w:r>
      <w:r w:rsidR="000D6E0B">
        <w:t xml:space="preserve">earlier RAN2 discussion and the latest </w:t>
      </w:r>
      <w:r>
        <w:t>RAN1 replies:</w:t>
      </w:r>
    </w:p>
    <w:p w14:paraId="0F6F26AB" w14:textId="73FC10F3" w:rsidR="000D6E0B" w:rsidRDefault="000D6E0B" w:rsidP="00B85FFA">
      <w:pPr>
        <w:pStyle w:val="ListParagraph"/>
        <w:numPr>
          <w:ilvl w:val="0"/>
          <w:numId w:val="8"/>
        </w:numPr>
      </w:pPr>
      <w:r>
        <w:t>The dilemma is applicable to both SA and NSA operation (since P/SCell addition is applicable for both)</w:t>
      </w:r>
      <w:r w:rsidR="008219CF">
        <w:t>.</w:t>
      </w:r>
    </w:p>
    <w:p w14:paraId="46B36544" w14:textId="532B6C62" w:rsidR="00B85FFA" w:rsidRDefault="000D6E0B" w:rsidP="00B85FFA">
      <w:pPr>
        <w:pStyle w:val="ListParagraph"/>
        <w:numPr>
          <w:ilvl w:val="0"/>
          <w:numId w:val="8"/>
        </w:numPr>
      </w:pPr>
      <w:r>
        <w:t xml:space="preserve">Option 1 can be considered to be in violation of the definition of UEs only supporting RRC-based BWP switch (henceforth called </w:t>
      </w:r>
      <w:r w:rsidRPr="000D6E0B">
        <w:rPr>
          <w:b/>
        </w:rPr>
        <w:t>6-1 UEs</w:t>
      </w:r>
      <w:r>
        <w:t xml:space="preserve"> according to the UE capability group in the RAN1 feature list), since the definition only allows a single (dedicated) BWP to be configured for the UE</w:t>
      </w:r>
      <w:r w:rsidR="00362795">
        <w:t>. However</w:t>
      </w:r>
      <w:r w:rsidR="008219CF">
        <w:t>,</w:t>
      </w:r>
      <w:r w:rsidR="00362795">
        <w:t xml:space="preserve"> 6-1 UE is capable of supporting two BWPs (initial DL BWP from IA and RRC configured dedicated). Therefore, if </w:t>
      </w:r>
      <w:r w:rsidR="008219CF">
        <w:t>initial DL BWP is restricted to be the same (in term of parameters) as one configured by MIB, there should be no issue for the UE.</w:t>
      </w:r>
      <w:r w:rsidR="00362795">
        <w:t xml:space="preserve">  </w:t>
      </w:r>
    </w:p>
    <w:p w14:paraId="78B9DF0F" w14:textId="3C06656B" w:rsidR="000D6E0B" w:rsidRDefault="000D6E0B" w:rsidP="00B85FFA">
      <w:pPr>
        <w:pStyle w:val="ListParagraph"/>
        <w:numPr>
          <w:ilvl w:val="0"/>
          <w:numId w:val="8"/>
        </w:numPr>
      </w:pPr>
      <w:r>
        <w:t>Option 2 can be considered to be in violation of RAN2#101 agreement that the initial BWP is always configured as BWP#0 when any BWP is configured</w:t>
      </w:r>
      <w:r w:rsidR="008219CF">
        <w:t>.</w:t>
      </w:r>
    </w:p>
    <w:p w14:paraId="3F8F7123" w14:textId="19AB5824" w:rsidR="000D6E0B" w:rsidRDefault="000D6E0B" w:rsidP="00B85FFA">
      <w:pPr>
        <w:pStyle w:val="ListParagraph"/>
        <w:numPr>
          <w:ilvl w:val="0"/>
          <w:numId w:val="8"/>
        </w:numPr>
      </w:pPr>
      <w:r>
        <w:t>It is not clear whether option 2 requires extensive changes in RAN1</w:t>
      </w:r>
      <w:r w:rsidR="008219CF">
        <w:t>, while in</w:t>
      </w:r>
      <w:r>
        <w:t xml:space="preserve"> RAN2 </w:t>
      </w:r>
      <w:r w:rsidR="008219CF">
        <w:t xml:space="preserve">it clearly </w:t>
      </w:r>
      <w:r>
        <w:t>requires further changes</w:t>
      </w:r>
      <w:r w:rsidR="008219CF">
        <w:t>.</w:t>
      </w:r>
    </w:p>
    <w:p w14:paraId="19F99C64" w14:textId="3136A5C7" w:rsidR="008F66D7" w:rsidRDefault="008F66D7" w:rsidP="00B85FFA">
      <w:r w:rsidRPr="008F66D7">
        <w:rPr>
          <w:b/>
        </w:rPr>
        <w:t>Observation 1:</w:t>
      </w:r>
      <w:r>
        <w:t xml:space="preserve"> Option 1 seems simpler from RAN1 perspective. </w:t>
      </w:r>
    </w:p>
    <w:p w14:paraId="188293FE" w14:textId="34EF8518" w:rsidR="008F66D7" w:rsidRDefault="008F66D7" w:rsidP="00B85FFA">
      <w:r w:rsidRPr="008F66D7">
        <w:rPr>
          <w:b/>
        </w:rPr>
        <w:lastRenderedPageBreak/>
        <w:t>Observation 2:</w:t>
      </w:r>
      <w:r>
        <w:t xml:space="preserve"> It is not clear how many changes to RAN1 or RAN2 specifications would be needed due to Option 2.</w:t>
      </w:r>
    </w:p>
    <w:p w14:paraId="713A2915" w14:textId="63D1A9C8" w:rsidR="00B85FFA" w:rsidRDefault="00B85FFA" w:rsidP="00B85FFA">
      <w:r>
        <w:t xml:space="preserve">Based on </w:t>
      </w:r>
      <w:r w:rsidR="000D6E0B">
        <w:t>these, we would propose that RAN2 adopts the Option 1 as the baseline: This seems com</w:t>
      </w:r>
      <w:r w:rsidR="008F66D7">
        <w:t>p</w:t>
      </w:r>
      <w:r w:rsidR="000D6E0B">
        <w:t>atible with all existing RAN1 and RAN2 agreements</w:t>
      </w:r>
      <w:r w:rsidR="008F66D7">
        <w:t>.</w:t>
      </w:r>
    </w:p>
    <w:p w14:paraId="3A9EC300" w14:textId="7486244E" w:rsidR="00B85FFA" w:rsidRDefault="000D6E0B" w:rsidP="00DD77FA">
      <w:r w:rsidRPr="000D6E0B">
        <w:rPr>
          <w:b/>
        </w:rPr>
        <w:t>Proposal 1:</w:t>
      </w:r>
      <w:r>
        <w:t xml:space="preserve"> Adopt Option 1 as the BWP signalling for P/SCell addition and handover</w:t>
      </w:r>
      <w:r w:rsidR="00997CC9">
        <w:t xml:space="preserve"> and send LS to RAN1 to inform them of this.</w:t>
      </w:r>
    </w:p>
    <w:p w14:paraId="185F4AE4" w14:textId="6EF312B2" w:rsidR="008F66D7" w:rsidRDefault="008219CF" w:rsidP="00DD77FA">
      <w:r>
        <w:t>On the other hand</w:t>
      </w:r>
      <w:r w:rsidR="008F66D7">
        <w:t xml:space="preserve">, the BWP indication field (as specified in </w:t>
      </w:r>
      <w:hyperlink r:id="rId14" w:history="1">
        <w:r w:rsidR="008F66D7" w:rsidRPr="008F66D7">
          <w:rPr>
            <w:rStyle w:val="Hyperlink"/>
          </w:rPr>
          <w:t>TS38.212</w:t>
        </w:r>
      </w:hyperlink>
      <w:r w:rsidR="008F66D7">
        <w:t xml:space="preserve">) depends on the amount of configured </w:t>
      </w:r>
      <w:r>
        <w:t>(</w:t>
      </w:r>
      <w:r w:rsidR="00C84654">
        <w:t xml:space="preserve">using </w:t>
      </w:r>
      <w:r>
        <w:t xml:space="preserve">MIB or RRC) </w:t>
      </w:r>
      <w:r w:rsidR="008F66D7">
        <w:t xml:space="preserve">BWPs, as shown in the </w:t>
      </w:r>
      <w:r>
        <w:t xml:space="preserve">TS38.212 </w:t>
      </w:r>
      <w:r w:rsidR="008F66D7">
        <w:t>excerpt below:</w:t>
      </w:r>
    </w:p>
    <w:tbl>
      <w:tblPr>
        <w:tblStyle w:val="TableGrid"/>
        <w:tblW w:w="0" w:type="auto"/>
        <w:tblLook w:val="04A0" w:firstRow="1" w:lastRow="0" w:firstColumn="1" w:lastColumn="0" w:noHBand="0" w:noVBand="1"/>
      </w:tblPr>
      <w:tblGrid>
        <w:gridCol w:w="9631"/>
      </w:tblGrid>
      <w:tr w:rsidR="008F66D7" w14:paraId="75F75677" w14:textId="77777777" w:rsidTr="008F66D7">
        <w:tc>
          <w:tcPr>
            <w:tcW w:w="9631" w:type="dxa"/>
          </w:tcPr>
          <w:p w14:paraId="0476769D" w14:textId="77777777" w:rsidR="008F66D7" w:rsidRDefault="008F66D7" w:rsidP="008F66D7">
            <w:pPr>
              <w:pStyle w:val="B1"/>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defined in Table 7.3.1.1.2-1. The bitwidth for this field is determined as </w:t>
            </w:r>
            <w:r>
              <w:rPr>
                <w:rFonts w:ascii="Calibri" w:hAnsi="Calibri" w:cs="Calibri"/>
                <w:sz w:val="22"/>
                <w:szCs w:val="22"/>
                <w:lang w:eastAsia="zh-CN"/>
              </w:rPr>
              <w:object w:dxaOrig="1130" w:dyaOrig="340" w14:anchorId="2CBCF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16.9pt" o:ole="">
                  <v:imagedata r:id="rId15" o:title=""/>
                </v:shape>
                <o:OLEObject Type="Embed" ProgID="Equation.3" ShapeID="_x0000_i1025" DrawAspect="Content" ObjectID="_1591121338" r:id="rId16"/>
              </w:object>
            </w:r>
            <w:r>
              <w:t>bits, where</w:t>
            </w:r>
            <w:r>
              <w:rPr>
                <w:lang w:eastAsia="zh-CN"/>
              </w:rPr>
              <w:t xml:space="preserve"> </w:t>
            </w:r>
          </w:p>
          <w:p w14:paraId="4FB1179C" w14:textId="77777777" w:rsidR="008F66D7" w:rsidRDefault="008F66D7" w:rsidP="008F66D7">
            <w:pPr>
              <w:pStyle w:val="B2"/>
              <w:rPr>
                <w:lang w:eastAsia="zh-CN"/>
              </w:rPr>
            </w:pPr>
            <w:r>
              <w:rPr>
                <w:lang w:eastAsia="zh-CN"/>
              </w:rPr>
              <w:t>-</w:t>
            </w:r>
            <w:r>
              <w:rPr>
                <w:lang w:eastAsia="zh-CN"/>
              </w:rPr>
              <w:tab/>
            </w:r>
            <w:r>
              <w:rPr>
                <w:rFonts w:ascii="Calibri" w:hAnsi="Calibri" w:cs="Calibri"/>
                <w:sz w:val="22"/>
                <w:szCs w:val="22"/>
                <w:lang w:eastAsia="zh-CN"/>
              </w:rPr>
              <w:object w:dxaOrig="1540" w:dyaOrig="310" w14:anchorId="690A6440">
                <v:shape id="_x0000_i1026" type="#_x0000_t75" style="width:77pt;height:15.65pt" o:ole="">
                  <v:imagedata r:id="rId17" o:title=""/>
                </v:shape>
                <o:OLEObject Type="Embed" ProgID="Equation.3" ShapeID="_x0000_i1026" DrawAspect="Content" ObjectID="_1591121339" r:id="rId18"/>
              </w:object>
            </w:r>
            <w:r>
              <w:rPr>
                <w:highlight w:val="yellow"/>
                <w:lang w:eastAsia="zh-CN"/>
              </w:rPr>
              <w:t xml:space="preserve"> if the higher layer parameter </w:t>
            </w:r>
            <w:r>
              <w:rPr>
                <w:i/>
                <w:highlight w:val="yellow"/>
              </w:rPr>
              <w:t>BandwidthPart-Config</w:t>
            </w:r>
            <w:r>
              <w:rPr>
                <w:highlight w:val="yellow"/>
                <w:lang w:eastAsia="zh-CN"/>
              </w:rPr>
              <w:t xml:space="preserve"> configures up to 3 bandwidth parts</w:t>
            </w:r>
            <w:r>
              <w:rPr>
                <w:lang w:eastAsia="zh-CN"/>
              </w:rPr>
              <w:t xml:space="preserve"> </w:t>
            </w:r>
            <w:r>
              <w:rPr>
                <w:highlight w:val="green"/>
                <w:lang w:eastAsia="zh-CN"/>
              </w:rPr>
              <w:t xml:space="preserve">and the initial bandwidth part is not included in higher layer parameter </w:t>
            </w:r>
            <w:r>
              <w:rPr>
                <w:i/>
                <w:highlight w:val="green"/>
              </w:rPr>
              <w:t>BandwidthPart-Config</w:t>
            </w:r>
            <w:r>
              <w:rPr>
                <w:highlight w:val="green"/>
                <w:lang w:eastAsia="zh-CN"/>
              </w:rPr>
              <w:t>;</w:t>
            </w:r>
          </w:p>
          <w:p w14:paraId="57E3ACD0" w14:textId="77777777" w:rsidR="008F66D7" w:rsidRDefault="008F66D7" w:rsidP="008F66D7">
            <w:pPr>
              <w:pStyle w:val="B2"/>
              <w:rPr>
                <w:lang w:eastAsia="zh-CN"/>
              </w:rPr>
            </w:pPr>
            <w:r>
              <w:rPr>
                <w:lang w:eastAsia="zh-CN"/>
              </w:rPr>
              <w:t>-</w:t>
            </w:r>
            <w:r>
              <w:rPr>
                <w:lang w:eastAsia="zh-CN"/>
              </w:rPr>
              <w:tab/>
            </w:r>
            <w:r>
              <w:rPr>
                <w:highlight w:val="cyan"/>
                <w:lang w:eastAsia="zh-CN"/>
              </w:rPr>
              <w:t xml:space="preserve">otherwise </w:t>
            </w:r>
            <w:r>
              <w:rPr>
                <w:rFonts w:ascii="Calibri" w:hAnsi="Calibri" w:cs="Calibri"/>
                <w:sz w:val="22"/>
                <w:szCs w:val="22"/>
                <w:highlight w:val="cyan"/>
                <w:lang w:eastAsia="zh-CN"/>
              </w:rPr>
              <w:object w:dxaOrig="1260" w:dyaOrig="310" w14:anchorId="4EB4CEE7">
                <v:shape id="_x0000_i1027" type="#_x0000_t75" style="width:63.25pt;height:15.65pt" o:ole="">
                  <v:imagedata r:id="rId19" o:title=""/>
                </v:shape>
                <o:OLEObject Type="Embed" ProgID="Equation.3" ShapeID="_x0000_i1027" DrawAspect="Content" ObjectID="_1591121340" r:id="rId20"/>
              </w:object>
            </w:r>
            <w:r>
              <w:rPr>
                <w:lang w:eastAsia="zh-CN"/>
              </w:rPr>
              <w:t>;</w:t>
            </w:r>
          </w:p>
          <w:p w14:paraId="54199F0B" w14:textId="3B1BEE38" w:rsidR="008F66D7" w:rsidRDefault="008F66D7" w:rsidP="008F66D7">
            <w:pPr>
              <w:pStyle w:val="B2"/>
              <w:rPr>
                <w:lang w:eastAsia="zh-CN"/>
              </w:rPr>
            </w:pPr>
            <w:r>
              <w:rPr>
                <w:lang w:eastAsia="zh-CN"/>
              </w:rPr>
              <w:t>-</w:t>
            </w:r>
            <w:r>
              <w:rPr>
                <w:lang w:eastAsia="zh-CN"/>
              </w:rPr>
              <w:tab/>
            </w:r>
            <w:r>
              <w:rPr>
                <w:rFonts w:ascii="Calibri" w:hAnsi="Calibri" w:cs="Calibri"/>
                <w:sz w:val="22"/>
                <w:szCs w:val="22"/>
                <w:lang w:eastAsia="zh-CN"/>
              </w:rPr>
              <w:object w:dxaOrig="680" w:dyaOrig="310" w14:anchorId="09726417">
                <v:shape id="_x0000_i1028" type="#_x0000_t75" style="width:34.45pt;height:15.65pt" o:ole="">
                  <v:imagedata r:id="rId21" o:title=""/>
                </v:shape>
                <o:OLEObject Type="Embed" ProgID="Equation.3" ShapeID="_x0000_i1028" DrawAspect="Content" ObjectID="_1591121341" r:id="rId22"/>
              </w:object>
            </w:r>
            <w:r>
              <w:rPr>
                <w:lang w:eastAsia="zh-CN"/>
              </w:rPr>
              <w:t xml:space="preserve"> is the number of configured bandwidth parts according to higher layer parameter </w:t>
            </w:r>
            <w:r>
              <w:rPr>
                <w:i/>
              </w:rPr>
              <w:t>BandwidthPart-Config</w:t>
            </w:r>
            <w:r>
              <w:rPr>
                <w:i/>
                <w:lang w:eastAsia="zh-CN"/>
              </w:rPr>
              <w:t>.</w:t>
            </w:r>
          </w:p>
        </w:tc>
      </w:tr>
    </w:tbl>
    <w:p w14:paraId="24692C48" w14:textId="398EB77B" w:rsidR="008F66D7" w:rsidRDefault="008F66D7" w:rsidP="00DD77FA"/>
    <w:p w14:paraId="3321BB0F" w14:textId="41BE5C2B" w:rsidR="008F66D7" w:rsidRDefault="008F66D7" w:rsidP="00DD77FA">
      <w:r>
        <w:t xml:space="preserve">This seems to imply that option 1 would mean that 1-bit BWPI would always be present and set correctly </w:t>
      </w:r>
      <w:r w:rsidR="00705831">
        <w:t>for UE with 6-2 and higher capability</w:t>
      </w:r>
      <w:r>
        <w:t>– which might not be always desired in case the network doesn’t want to utilize the DCI-based switching for</w:t>
      </w:r>
      <w:r w:rsidR="00705831">
        <w:t xml:space="preserve"> </w:t>
      </w:r>
      <w:r>
        <w:t>th</w:t>
      </w:r>
      <w:r w:rsidR="00705831">
        <w:t>ose</w:t>
      </w:r>
      <w:r>
        <w:t xml:space="preserve"> UE</w:t>
      </w:r>
      <w:r w:rsidR="00705831">
        <w:t>s</w:t>
      </w:r>
      <w:r>
        <w:t xml:space="preserve">. RAN1 </w:t>
      </w:r>
      <w:r w:rsidR="00705831">
        <w:t xml:space="preserve">did </w:t>
      </w:r>
      <w:r>
        <w:t>already agree that UEs not supporting DCI-based</w:t>
      </w:r>
      <w:r w:rsidR="00705831">
        <w:t xml:space="preserve"> switching will ignore the BWPI</w:t>
      </w:r>
      <w:r>
        <w:t>, but from RAN2 viewpoint, it might be simpler to indicate whether UE should follow the DCI indications or not.</w:t>
      </w:r>
    </w:p>
    <w:p w14:paraId="1CE97B57" w14:textId="44C48909" w:rsidR="008F66D7" w:rsidRDefault="008F66D7" w:rsidP="00DD77FA">
      <w:r w:rsidRPr="008F66D7">
        <w:rPr>
          <w:b/>
        </w:rPr>
        <w:t>Proposal 2:</w:t>
      </w:r>
      <w:r>
        <w:t xml:space="preserve"> </w:t>
      </w:r>
      <w:r w:rsidR="00705831">
        <w:t xml:space="preserve">Support </w:t>
      </w:r>
      <w:r>
        <w:t>RRC configur</w:t>
      </w:r>
      <w:r w:rsidR="00705831">
        <w:t>ation indicating</w:t>
      </w:r>
      <w:r>
        <w:t xml:space="preserve"> </w:t>
      </w:r>
      <w:r w:rsidR="00705831">
        <w:t xml:space="preserve">whether </w:t>
      </w:r>
      <w:r>
        <w:t>UE should follow DCI BWPI</w:t>
      </w:r>
      <w:r w:rsidR="00705831">
        <w:t xml:space="preserve"> field </w:t>
      </w:r>
      <w:r>
        <w:t xml:space="preserve"> (and this option would not be allowed to be configured for 6-1 UEs).</w:t>
      </w:r>
    </w:p>
    <w:p w14:paraId="18AC02A9" w14:textId="4B86C67C" w:rsidR="000D6E0B" w:rsidRPr="006E13D1" w:rsidRDefault="008F66D7" w:rsidP="000D6E0B">
      <w:pPr>
        <w:pStyle w:val="Heading2"/>
      </w:pPr>
      <w:r>
        <w:t>2</w:t>
      </w:r>
      <w:r w:rsidR="000D6E0B" w:rsidRPr="006E13D1">
        <w:t>.</w:t>
      </w:r>
      <w:r w:rsidR="000D6E0B">
        <w:t>2</w:t>
      </w:r>
      <w:r w:rsidR="000D6E0B" w:rsidRPr="006E13D1">
        <w:tab/>
      </w:r>
      <w:r w:rsidR="000D6E0B">
        <w:t>SCell BWP reconfiguration via RRC</w:t>
      </w:r>
    </w:p>
    <w:p w14:paraId="41653EA9" w14:textId="194B45C8" w:rsidR="00BE4A05" w:rsidRDefault="000D6E0B" w:rsidP="000D6E0B">
      <w:r>
        <w:t xml:space="preserve">RAN2 decided that BWP change for a SpCell always requires reconfiguration with sync (which means that network is unlikely to reconfigure the SpCell BWP without a very good reason). However, the decision is not clear on whether this also applies for SCells: In principle, the synchronization </w:t>
      </w:r>
      <w:r w:rsidR="00BE4A05">
        <w:t>requirement was introduced as it simplifies the SpCell handling (which is critical for normal system operation), but for SCells this seems excessive: Reconfiguring SCells should not require interruption to SpCells unless absolutely necessary.</w:t>
      </w:r>
      <w:r w:rsidR="008F66D7">
        <w:t xml:space="preserve"> Further, since SCells are deactivated at reconfiguration with sync, the SCells would also have to be deactivated, resulting in even worse performance for the whole procedure.</w:t>
      </w:r>
    </w:p>
    <w:p w14:paraId="2CC6B61D" w14:textId="6886D4C1" w:rsidR="008F66D7" w:rsidRDefault="008F66D7" w:rsidP="000D6E0B">
      <w:r w:rsidRPr="008F66D7">
        <w:rPr>
          <w:b/>
        </w:rPr>
        <w:t>Observation 3:</w:t>
      </w:r>
      <w:r>
        <w:t xml:space="preserve"> Requiring reconfiguration with sync for SCell BWP change via RRC would 1) cause interruption to Pcell, 2) create extra delay due to the RRC processing delay and SCell activation delay, and 3) require gNB to activate SCells after the reconfiguration.</w:t>
      </w:r>
    </w:p>
    <w:p w14:paraId="794254DB" w14:textId="3D84F861" w:rsidR="00BE4A05" w:rsidRDefault="00BE4A05" w:rsidP="000D6E0B">
      <w:r w:rsidRPr="00BE4A05">
        <w:rPr>
          <w:b/>
        </w:rPr>
        <w:t xml:space="preserve">Proposal </w:t>
      </w:r>
      <w:r w:rsidR="008F66D7">
        <w:rPr>
          <w:b/>
        </w:rPr>
        <w:t>3</w:t>
      </w:r>
      <w:r w:rsidRPr="00BE4A05">
        <w:rPr>
          <w:b/>
        </w:rPr>
        <w:t>:</w:t>
      </w:r>
      <w:r>
        <w:t xml:space="preserve"> BWP reconfiguration via RRC for </w:t>
      </w:r>
      <w:r w:rsidRPr="00BE4A05">
        <w:rPr>
          <w:b/>
        </w:rPr>
        <w:t>SCells</w:t>
      </w:r>
      <w:r>
        <w:t xml:space="preserve"> is allowed via regular RRC reconfiguration (i.e. reconfiguration with sync is not required).</w:t>
      </w:r>
    </w:p>
    <w:p w14:paraId="48F41ED5" w14:textId="4C829C4D" w:rsidR="008F66D7" w:rsidRPr="006E13D1" w:rsidRDefault="008F66D7" w:rsidP="008F66D7">
      <w:pPr>
        <w:pStyle w:val="Heading2"/>
      </w:pPr>
      <w:r>
        <w:t>2.3</w:t>
      </w:r>
      <w:r w:rsidRPr="006E13D1">
        <w:tab/>
      </w:r>
      <w:r>
        <w:t>BWP usage at EN-DC setup</w:t>
      </w:r>
    </w:p>
    <w:p w14:paraId="72A81467" w14:textId="47F8E9C0" w:rsidR="008F66D7" w:rsidRDefault="008F66D7" w:rsidP="008F66D7">
      <w:r>
        <w:t>The procedure for EN-DC setup means that UE access the PSCell via random access, which means it must utilize a BWP with RACH resources. However, looking at the procedural text for this, this is only done if reconfiguration with sync is used, as shown in the excer</w:t>
      </w:r>
      <w:r w:rsidR="00960002">
        <w:t>p</w:t>
      </w:r>
      <w:r>
        <w:t>ts from LTE RRC and NR RRC below:</w:t>
      </w:r>
    </w:p>
    <w:tbl>
      <w:tblPr>
        <w:tblStyle w:val="TableGrid"/>
        <w:tblW w:w="0" w:type="auto"/>
        <w:tblLook w:val="04A0" w:firstRow="1" w:lastRow="0" w:firstColumn="1" w:lastColumn="0" w:noHBand="0" w:noVBand="1"/>
      </w:tblPr>
      <w:tblGrid>
        <w:gridCol w:w="9631"/>
      </w:tblGrid>
      <w:tr w:rsidR="008F66D7" w14:paraId="700E854B" w14:textId="77777777" w:rsidTr="008F66D7">
        <w:tc>
          <w:tcPr>
            <w:tcW w:w="9631" w:type="dxa"/>
          </w:tcPr>
          <w:p w14:paraId="781C8B4C" w14:textId="77777777" w:rsidR="008F66D7" w:rsidRPr="008F66D7" w:rsidRDefault="008F66D7" w:rsidP="008F66D7">
            <w:pPr>
              <w:rPr>
                <w:b/>
                <w:u w:val="single"/>
              </w:rPr>
            </w:pPr>
            <w:r w:rsidRPr="008F66D7">
              <w:rPr>
                <w:b/>
                <w:u w:val="single"/>
              </w:rPr>
              <w:t>LTE RRC, subclause 5.3.5.3</w:t>
            </w:r>
          </w:p>
          <w:p w14:paraId="7A18E8F4" w14:textId="77777777" w:rsidR="008F66D7" w:rsidRPr="00941393" w:rsidRDefault="008F66D7" w:rsidP="008F66D7">
            <w:pPr>
              <w:pStyle w:val="B1"/>
            </w:pPr>
            <w:r w:rsidRPr="00941393">
              <w:t>1&gt;</w:t>
            </w:r>
            <w:r w:rsidRPr="00941393">
              <w:tab/>
              <w:t xml:space="preserve">if the received RRCConnectionReconfiguration includes the </w:t>
            </w:r>
            <w:r w:rsidRPr="00941393">
              <w:rPr>
                <w:i/>
              </w:rPr>
              <w:t>nr-SecondaryCellGroupConfig</w:t>
            </w:r>
            <w:r w:rsidRPr="00941393">
              <w:t>:</w:t>
            </w:r>
          </w:p>
          <w:p w14:paraId="28ADCCB5" w14:textId="77777777" w:rsidR="008F66D7" w:rsidRPr="00941393" w:rsidRDefault="008F66D7" w:rsidP="008F66D7">
            <w:pPr>
              <w:pStyle w:val="B2"/>
            </w:pPr>
            <w:r w:rsidRPr="00941393">
              <w:t>2&gt;</w:t>
            </w:r>
            <w:r w:rsidRPr="00941393">
              <w:tab/>
              <w:t xml:space="preserve">perform NR RRC Reconfiguration </w:t>
            </w:r>
            <w:r w:rsidRPr="008F66D7">
              <w:rPr>
                <w:highlight w:val="magenta"/>
              </w:rPr>
              <w:t>as specified in TS 38.331 [82, 5.3.5.3];</w:t>
            </w:r>
          </w:p>
          <w:p w14:paraId="2E92FD2B" w14:textId="08511EA4" w:rsidR="008F66D7" w:rsidRPr="008F66D7" w:rsidRDefault="008F66D7" w:rsidP="008F66D7">
            <w:pPr>
              <w:rPr>
                <w:b/>
                <w:u w:val="single"/>
              </w:rPr>
            </w:pPr>
            <w:r w:rsidRPr="008F66D7">
              <w:rPr>
                <w:b/>
                <w:u w:val="single"/>
              </w:rPr>
              <w:t>NR RRC, subclause 5.3.5.3</w:t>
            </w:r>
          </w:p>
          <w:p w14:paraId="5807240D" w14:textId="77777777" w:rsidR="008F66D7" w:rsidRPr="000F464D" w:rsidRDefault="008F66D7" w:rsidP="008F66D7">
            <w:pPr>
              <w:pStyle w:val="B1"/>
            </w:pPr>
            <w:r w:rsidRPr="000F464D">
              <w:t xml:space="preserve">1&gt;  if the UE is configured with E-UTRA </w:t>
            </w:r>
            <w:r w:rsidRPr="000F464D">
              <w:rPr>
                <w:i/>
              </w:rPr>
              <w:t>nr-SecondaryCellGroupConfig</w:t>
            </w:r>
            <w:r w:rsidRPr="000F464D">
              <w:t xml:space="preserve"> (MCG is E-UTRA):</w:t>
            </w:r>
          </w:p>
          <w:p w14:paraId="24FEE0DD" w14:textId="77777777" w:rsidR="008F66D7" w:rsidRPr="000F464D" w:rsidRDefault="008F66D7" w:rsidP="008F66D7">
            <w:pPr>
              <w:pStyle w:val="B2"/>
            </w:pPr>
            <w:r w:rsidRPr="000F464D">
              <w:t xml:space="preserve">2&gt; if </w:t>
            </w:r>
            <w:r w:rsidRPr="000F464D">
              <w:rPr>
                <w:i/>
              </w:rPr>
              <w:t>RRCReconfiguration</w:t>
            </w:r>
            <w:r w:rsidRPr="000F464D">
              <w:t xml:space="preserve"> was received via SRB1:</w:t>
            </w:r>
          </w:p>
          <w:p w14:paraId="61054577" w14:textId="77777777" w:rsidR="008F66D7" w:rsidRPr="000F464D" w:rsidRDefault="008F66D7" w:rsidP="008F66D7">
            <w:pPr>
              <w:pStyle w:val="B3"/>
            </w:pPr>
            <w:r w:rsidRPr="000F464D">
              <w:t xml:space="preserve">3&gt; construct </w:t>
            </w:r>
            <w:r w:rsidRPr="000F464D">
              <w:rPr>
                <w:i/>
              </w:rPr>
              <w:t>RRCReconfigurationComplete</w:t>
            </w:r>
            <w:r w:rsidRPr="000F464D">
              <w:t xml:space="preserve"> message and submit it via the EUTRA MCG embedded in E-UTRA RRC message </w:t>
            </w:r>
            <w:r w:rsidRPr="000F464D">
              <w:rPr>
                <w:i/>
              </w:rPr>
              <w:t>RRCConnectionReconfigurationComplete</w:t>
            </w:r>
            <w:r w:rsidRPr="000F464D">
              <w:t xml:space="preserve"> as specified in TS 36.331 [10];</w:t>
            </w:r>
          </w:p>
          <w:p w14:paraId="2246D580" w14:textId="77777777" w:rsidR="008F66D7" w:rsidRPr="000F464D" w:rsidRDefault="008F66D7" w:rsidP="008F66D7">
            <w:pPr>
              <w:pStyle w:val="B3"/>
            </w:pPr>
            <w:r w:rsidRPr="008F66D7">
              <w:rPr>
                <w:highlight w:val="yellow"/>
              </w:rPr>
              <w:t xml:space="preserve">3&gt; if </w:t>
            </w:r>
            <w:r w:rsidRPr="008F66D7">
              <w:rPr>
                <w:i/>
                <w:highlight w:val="yellow"/>
              </w:rPr>
              <w:t>reconfigurationWithSync</w:t>
            </w:r>
            <w:r w:rsidRPr="008F66D7">
              <w:rPr>
                <w:highlight w:val="yellow"/>
              </w:rPr>
              <w:t xml:space="preserve"> was included in </w:t>
            </w:r>
            <w:r w:rsidRPr="008F66D7">
              <w:rPr>
                <w:i/>
                <w:highlight w:val="yellow"/>
              </w:rPr>
              <w:t>spCellConfig</w:t>
            </w:r>
            <w:r w:rsidRPr="008F66D7">
              <w:rPr>
                <w:highlight w:val="yellow"/>
              </w:rPr>
              <w:t xml:space="preserve"> of an SCG:</w:t>
            </w:r>
          </w:p>
          <w:p w14:paraId="12795F3A" w14:textId="77777777" w:rsidR="008F66D7" w:rsidRPr="000F464D" w:rsidRDefault="008F66D7" w:rsidP="008F66D7">
            <w:pPr>
              <w:pStyle w:val="B4"/>
            </w:pPr>
            <w:r w:rsidRPr="008F66D7">
              <w:rPr>
                <w:highlight w:val="cyan"/>
              </w:rPr>
              <w:t>4&gt; initiate the random access procedure on the SpCell, as specified in TS 38.321 [3];</w:t>
            </w:r>
            <w:r w:rsidRPr="000F464D">
              <w:t xml:space="preserve"> </w:t>
            </w:r>
          </w:p>
          <w:p w14:paraId="5546F1BC" w14:textId="77777777" w:rsidR="008F66D7" w:rsidRPr="008F66D7" w:rsidRDefault="008F66D7" w:rsidP="008F66D7">
            <w:pPr>
              <w:pStyle w:val="B3"/>
              <w:rPr>
                <w:highlight w:val="green"/>
                <w:lang w:eastAsia="zh-CN"/>
              </w:rPr>
            </w:pPr>
            <w:r w:rsidRPr="008F66D7">
              <w:rPr>
                <w:highlight w:val="green"/>
                <w:lang w:eastAsia="zh-CN"/>
              </w:rPr>
              <w:t>3&gt; else:</w:t>
            </w:r>
          </w:p>
          <w:p w14:paraId="1DB4A5F2" w14:textId="77777777" w:rsidR="008F66D7" w:rsidRPr="000F464D" w:rsidRDefault="008F66D7" w:rsidP="008F66D7">
            <w:pPr>
              <w:pStyle w:val="B4"/>
            </w:pPr>
            <w:r w:rsidRPr="008F66D7">
              <w:rPr>
                <w:highlight w:val="green"/>
              </w:rPr>
              <w:t>4&gt;  the procedure ends;</w:t>
            </w:r>
          </w:p>
          <w:p w14:paraId="206C2685" w14:textId="2353162E" w:rsidR="008F66D7" w:rsidRDefault="008F66D7" w:rsidP="008F66D7">
            <w:pPr>
              <w:pStyle w:val="NO"/>
            </w:pPr>
            <w:r w:rsidRPr="000F464D">
              <w:t>NOTE:</w:t>
            </w:r>
            <w:r w:rsidRPr="000F464D">
              <w:tab/>
              <w:t xml:space="preserve">The order the UE sends the </w:t>
            </w:r>
            <w:r w:rsidRPr="000F464D">
              <w:rPr>
                <w:i/>
                <w:iCs/>
              </w:rPr>
              <w:t>RRCConnectionReconfigurationComplete</w:t>
            </w:r>
            <w:r w:rsidRPr="000F464D">
              <w:t xml:space="preserve"> message and performs the Random Access procedure towards the SCG is left to UE implementation.</w:t>
            </w:r>
          </w:p>
        </w:tc>
      </w:tr>
    </w:tbl>
    <w:p w14:paraId="01389490" w14:textId="77777777" w:rsidR="008F66D7" w:rsidRDefault="008F66D7" w:rsidP="008F66D7"/>
    <w:p w14:paraId="0D461EDF" w14:textId="088285F4" w:rsidR="008F66D7" w:rsidRDefault="008F66D7" w:rsidP="008F66D7">
      <w:r>
        <w:rPr>
          <w:b/>
        </w:rPr>
        <w:t>Observation 4</w:t>
      </w:r>
      <w:r w:rsidRPr="008F66D7">
        <w:rPr>
          <w:b/>
        </w:rPr>
        <w:t>:</w:t>
      </w:r>
      <w:r>
        <w:t xml:space="preserve">  UE only performs random access towards PSCell if reconfiguration with sync is used. </w:t>
      </w:r>
    </w:p>
    <w:p w14:paraId="238A575C" w14:textId="2B112C28" w:rsidR="008F66D7" w:rsidRDefault="008F66D7" w:rsidP="008F66D7">
      <w:r>
        <w:t>Considering which BWP should be used, we note that UE has the full BWP configuration available immediately at the beginning of the procedure</w:t>
      </w:r>
      <w:r w:rsidRPr="008F66D7">
        <w:t xml:space="preserve"> </w:t>
      </w:r>
      <w:r>
        <w:t>since the configurat</w:t>
      </w:r>
      <w:r w:rsidR="003177DF">
        <w:t>i</w:t>
      </w:r>
      <w:r>
        <w:t>on is provided via the LTE leg in dedicated signalling. Therefore, it seems logical that UE could access the PSCell via the first active BWP if so desired - but this is not at all clear in the RRC: The BWP usage is quite obfuscated in NR RRC, and especially the usage of first active vs. initial BWP is not made clear in (m)any places.</w:t>
      </w:r>
    </w:p>
    <w:p w14:paraId="51938D85" w14:textId="06C56F5A" w:rsidR="008F66D7" w:rsidRDefault="008F66D7" w:rsidP="008F66D7">
      <w:r>
        <w:rPr>
          <w:b/>
        </w:rPr>
        <w:t>Observation 5</w:t>
      </w:r>
      <w:r w:rsidRPr="008F66D7">
        <w:rPr>
          <w:b/>
        </w:rPr>
        <w:t>:</w:t>
      </w:r>
      <w:r>
        <w:t xml:space="preserve"> It is not clear whether UE uses initial BWP or first active BWP when accessing PSCell during EN-DC setup.</w:t>
      </w:r>
    </w:p>
    <w:p w14:paraId="021DC3E4" w14:textId="5BEC40BC" w:rsidR="008F66D7" w:rsidRDefault="008F66D7" w:rsidP="008F66D7">
      <w:r>
        <w:t xml:space="preserve">Looking at NR RRC, the SCG addition for EN-DC is done via the IE </w:t>
      </w:r>
      <w:r>
        <w:rPr>
          <w:i/>
        </w:rPr>
        <w:t>CellGroupConfig</w:t>
      </w:r>
      <w:r>
        <w:t>, for which the procedural text can be found in subclause 5.3.5.5 of NR RRC. This procedural part only considers first active BWP when reconfiguration with sync is used, but the field presence condition reads “</w:t>
      </w:r>
      <w:r w:rsidRPr="008F66D7">
        <w:rPr>
          <w:rFonts w:eastAsia="Calibri"/>
          <w:i/>
          <w:szCs w:val="22"/>
          <w:lang w:eastAsia="ja-JP"/>
        </w:rPr>
        <w:t>The field is mandatory present in case of SpCell change and security key change; otherwise it is optionally present, need M.</w:t>
      </w:r>
      <w:r>
        <w:t xml:space="preserve">”, which seems to suggest that at SCell addition, it would not need to be present. Therefore, this should be clarified as RA towards the PSCell is always needed as SCG addition. </w:t>
      </w:r>
    </w:p>
    <w:p w14:paraId="416FFF1F" w14:textId="6F0537C7" w:rsidR="008F66D7" w:rsidRDefault="008F66D7" w:rsidP="008F66D7">
      <w:r w:rsidRPr="008F66D7">
        <w:rPr>
          <w:b/>
        </w:rPr>
        <w:t>Proposal 4:</w:t>
      </w:r>
      <w:r>
        <w:t xml:space="preserve"> </w:t>
      </w:r>
      <w:r w:rsidR="002A39CF">
        <w:t>Clarify</w:t>
      </w:r>
      <w:r>
        <w:t xml:space="preserve"> the condition definition of reconfiguration of sync so that it must be present also when adding </w:t>
      </w:r>
      <w:r w:rsidR="002A39CF">
        <w:t>SpCell</w:t>
      </w:r>
      <w:r>
        <w:t>.</w:t>
      </w:r>
    </w:p>
    <w:p w14:paraId="18973C49" w14:textId="5A7A0ED4" w:rsidR="00DD77FA" w:rsidRPr="006E13D1" w:rsidRDefault="008F66D7" w:rsidP="00DD77FA">
      <w:pPr>
        <w:pStyle w:val="Heading2"/>
      </w:pPr>
      <w:r>
        <w:t>2</w:t>
      </w:r>
      <w:r w:rsidR="00DD77FA">
        <w:t>.</w:t>
      </w:r>
      <w:r>
        <w:t>4</w:t>
      </w:r>
      <w:r w:rsidR="00DD77FA" w:rsidRPr="006E13D1">
        <w:tab/>
      </w:r>
      <w:r w:rsidR="00DD77FA">
        <w:t>BWP switching delays</w:t>
      </w:r>
      <w:r>
        <w:t xml:space="preserve"> for RRC-based BWP reconfiguration</w:t>
      </w:r>
    </w:p>
    <w:p w14:paraId="2AEEE6A4" w14:textId="4B14908F" w:rsidR="002D636A" w:rsidRDefault="002D636A" w:rsidP="00DD77FA">
      <w:r>
        <w:t xml:space="preserve">The BWP switching delay occurs when BWP is changed – regardless of whether this is done via RRC or via DCI. This is similar to SCell activation/deactivation via MAC CE in LTE: E.g. when eNB sends MAC CE to activate an SCell at time </w:t>
      </w:r>
      <w:r w:rsidRPr="002D636A">
        <w:rPr>
          <w:i/>
        </w:rPr>
        <w:t>n</w:t>
      </w:r>
      <w:r>
        <w:t xml:space="preserve">, the SCell becomes activated earliest at </w:t>
      </w:r>
      <w:r w:rsidRPr="002D636A">
        <w:rPr>
          <w:i/>
        </w:rPr>
        <w:t>n+8</w:t>
      </w:r>
      <w:r>
        <w:t xml:space="preserve"> and latest at </w:t>
      </w:r>
      <w:r w:rsidRPr="002D636A">
        <w:rPr>
          <w:i/>
        </w:rPr>
        <w:t>n+34</w:t>
      </w:r>
      <w:r>
        <w:t>. Similarly, RAN4 has defined requirements that state when the UE may do the RF retuning and consequent UP interruption that may be required for the activated.</w:t>
      </w:r>
    </w:p>
    <w:p w14:paraId="1829E4C0" w14:textId="0575447D" w:rsidR="002D636A" w:rsidRDefault="00422CF6" w:rsidP="00DD77FA">
      <w:r>
        <w:t>S</w:t>
      </w:r>
      <w:r w:rsidR="002D636A">
        <w:t xml:space="preserve">uppose </w:t>
      </w:r>
      <w:r>
        <w:t xml:space="preserve">now </w:t>
      </w:r>
      <w:r w:rsidR="002D636A">
        <w:t xml:space="preserve">the gNB sends RRC reconfiguration accomplishing the BWP switching at time </w:t>
      </w:r>
      <w:r w:rsidR="002D636A" w:rsidRPr="002D636A">
        <w:rPr>
          <w:i/>
        </w:rPr>
        <w:t>n</w:t>
      </w:r>
      <w:r w:rsidR="002D636A">
        <w:t xml:space="preserve">, via RRC, the UE is considered to have applied the RRC configuration </w:t>
      </w:r>
      <w:r w:rsidR="00DC021B">
        <w:t>after RRC processing delay R</w:t>
      </w:r>
      <w:r>
        <w:t xml:space="preserve">. However, it is not clear if this also includes the BWP switching delay </w:t>
      </w:r>
      <w:r w:rsidRPr="00422CF6">
        <w:rPr>
          <w:i/>
        </w:rPr>
        <w:t>B</w:t>
      </w:r>
      <w:r>
        <w:t xml:space="preserve"> or any additional RRM delays </w:t>
      </w:r>
      <w:r w:rsidRPr="00422CF6">
        <w:rPr>
          <w:i/>
        </w:rPr>
        <w:t>X</w:t>
      </w:r>
      <w:r>
        <w:t>– so when s</w:t>
      </w:r>
      <w:r w:rsidR="002D636A">
        <w:t xml:space="preserve">hould the gNB consider the BWP as being available? </w:t>
      </w:r>
    </w:p>
    <w:p w14:paraId="04E646D3" w14:textId="7C5F857A" w:rsidR="002D636A" w:rsidRDefault="002D636A" w:rsidP="00DC021B">
      <w:pPr>
        <w:pStyle w:val="ListParagraph"/>
        <w:numPr>
          <w:ilvl w:val="0"/>
          <w:numId w:val="9"/>
        </w:numPr>
      </w:pPr>
      <w:r>
        <w:t>After the RRC processing delay</w:t>
      </w:r>
      <w:r w:rsidR="00422CF6">
        <w:t>, i.e. at</w:t>
      </w:r>
      <w:r>
        <w:t xml:space="preserve"> </w:t>
      </w:r>
      <w:r w:rsidR="00DC021B" w:rsidRPr="00DC021B">
        <w:rPr>
          <w:i/>
        </w:rPr>
        <w:t>n+R</w:t>
      </w:r>
      <w:r w:rsidR="00DC021B">
        <w:t>?</w:t>
      </w:r>
    </w:p>
    <w:p w14:paraId="6B7FAEC4" w14:textId="253A5BCD" w:rsidR="00422CF6" w:rsidRDefault="00DC021B" w:rsidP="00DC021B">
      <w:pPr>
        <w:pStyle w:val="ListParagraph"/>
        <w:numPr>
          <w:ilvl w:val="0"/>
          <w:numId w:val="9"/>
        </w:numPr>
      </w:pPr>
      <w:r>
        <w:t>After RRC</w:t>
      </w:r>
      <w:r w:rsidR="00422CF6">
        <w:t xml:space="preserve"> processing delay + BWP switchi</w:t>
      </w:r>
      <w:r>
        <w:t>ng delay</w:t>
      </w:r>
      <w:r w:rsidR="00422CF6">
        <w:t xml:space="preserve">, i.e. at </w:t>
      </w:r>
      <w:r>
        <w:t xml:space="preserve"> </w:t>
      </w:r>
      <w:r w:rsidRPr="00DC021B">
        <w:rPr>
          <w:i/>
        </w:rPr>
        <w:t>n+R+B</w:t>
      </w:r>
      <w:r>
        <w:t>?</w:t>
      </w:r>
      <w:r w:rsidR="00422CF6">
        <w:t xml:space="preserve"> </w:t>
      </w:r>
    </w:p>
    <w:p w14:paraId="0B34662F" w14:textId="79635DAA" w:rsidR="00422CF6" w:rsidRDefault="00422CF6" w:rsidP="00DC021B">
      <w:pPr>
        <w:pStyle w:val="ListParagraph"/>
        <w:numPr>
          <w:ilvl w:val="0"/>
          <w:numId w:val="9"/>
        </w:numPr>
      </w:pPr>
      <w:r>
        <w:t xml:space="preserve">After RRC processing delay + BWP switching delay + RRM processing delay, i.e. at  </w:t>
      </w:r>
      <w:r w:rsidRPr="00DC021B">
        <w:rPr>
          <w:i/>
        </w:rPr>
        <w:t>n+R+B</w:t>
      </w:r>
      <w:r>
        <w:rPr>
          <w:i/>
        </w:rPr>
        <w:t>+X</w:t>
      </w:r>
      <w:r>
        <w:t>?</w:t>
      </w:r>
    </w:p>
    <w:p w14:paraId="76A5556E" w14:textId="38379950" w:rsidR="00BE4A05" w:rsidRDefault="00422CF6" w:rsidP="00DD77FA">
      <w:r w:rsidRPr="00422CF6">
        <w:rPr>
          <w:b/>
        </w:rPr>
        <w:t xml:space="preserve">Observation </w:t>
      </w:r>
      <w:r w:rsidR="008F66D7">
        <w:rPr>
          <w:b/>
        </w:rPr>
        <w:t>6</w:t>
      </w:r>
      <w:r w:rsidRPr="00422CF6">
        <w:rPr>
          <w:b/>
        </w:rPr>
        <w:t>:</w:t>
      </w:r>
      <w:r>
        <w:t xml:space="preserve"> It is not clear how and what the RAN4 requirements on BWP switching delay are</w:t>
      </w:r>
      <w:r w:rsidR="008F66D7">
        <w:t xml:space="preserve"> when using RRC-based reconfiguration with sync</w:t>
      </w:r>
      <w:r>
        <w:t>.</w:t>
      </w:r>
    </w:p>
    <w:p w14:paraId="778273B9" w14:textId="77777777" w:rsidR="008F66D7" w:rsidRDefault="00422CF6" w:rsidP="00DD77FA">
      <w:r>
        <w:t>While this is more RAN4 matter, it is also relevant from RAN2 perspective as it affects the scheduler operation.</w:t>
      </w:r>
      <w:r w:rsidR="008F66D7">
        <w:t xml:space="preserve"> Therefore, it would be good for RAN2 to understand the RAN4 requirements on this, as the BWP switching is done differently in different procedures:</w:t>
      </w:r>
    </w:p>
    <w:p w14:paraId="6BE50888" w14:textId="0CB94C2E" w:rsidR="00422CF6" w:rsidRDefault="008F66D7" w:rsidP="00997CC9">
      <w:pPr>
        <w:pStyle w:val="ListParagraph"/>
        <w:numPr>
          <w:ilvl w:val="0"/>
          <w:numId w:val="8"/>
        </w:numPr>
      </w:pPr>
      <w:r>
        <w:t xml:space="preserve">In initial access, BWP switch occurs after Msg4 (see </w:t>
      </w:r>
      <w:hyperlink r:id="rId23" w:history="1">
        <w:r w:rsidR="00997CC9" w:rsidRPr="00997CC9">
          <w:rPr>
            <w:rStyle w:val="Hyperlink"/>
          </w:rPr>
          <w:t>R2-1810032</w:t>
        </w:r>
      </w:hyperlink>
      <w:r>
        <w:t>)</w:t>
      </w:r>
    </w:p>
    <w:p w14:paraId="01319D39" w14:textId="49940418" w:rsidR="008F66D7" w:rsidRDefault="008F66D7" w:rsidP="008F66D7">
      <w:pPr>
        <w:pStyle w:val="ListParagraph"/>
        <w:numPr>
          <w:ilvl w:val="0"/>
          <w:numId w:val="8"/>
        </w:numPr>
      </w:pPr>
      <w:r>
        <w:t>In RRC reconfiguration with sync, BWP switch occurs during the process (see above)</w:t>
      </w:r>
    </w:p>
    <w:p w14:paraId="4E6DD77F" w14:textId="22F29388" w:rsidR="008F66D7" w:rsidRDefault="008F66D7" w:rsidP="008F66D7">
      <w:pPr>
        <w:pStyle w:val="ListParagraph"/>
        <w:numPr>
          <w:ilvl w:val="0"/>
          <w:numId w:val="8"/>
        </w:numPr>
      </w:pPr>
      <w:r>
        <w:t>In handover, the BWP switch occurs before UE accesses the target cell</w:t>
      </w:r>
    </w:p>
    <w:p w14:paraId="4F127EE1" w14:textId="2515EDBC" w:rsidR="008F66D7" w:rsidRDefault="008F66D7" w:rsidP="008F66D7">
      <w:pPr>
        <w:pStyle w:val="ListParagraph"/>
        <w:numPr>
          <w:ilvl w:val="0"/>
          <w:numId w:val="8"/>
        </w:numPr>
      </w:pPr>
      <w:r>
        <w:t>For SCells, normal reconfiguration may be possible to use but is still FFS (see section 2.2)</w:t>
      </w:r>
    </w:p>
    <w:p w14:paraId="554E0942" w14:textId="412D27E2" w:rsidR="008F66D7" w:rsidRDefault="008F66D7" w:rsidP="008F66D7">
      <w:r w:rsidRPr="008F66D7">
        <w:rPr>
          <w:b/>
        </w:rPr>
        <w:t>Observation 7:</w:t>
      </w:r>
      <w:r>
        <w:t xml:space="preserve"> The BWP usages are slightly different in each procedure, which may affect the exact RAN4 requirements.</w:t>
      </w:r>
    </w:p>
    <w:p w14:paraId="7C5FD873" w14:textId="2CC6EDE4" w:rsidR="00B04F60" w:rsidRDefault="00B04F60" w:rsidP="008F66D7">
      <w:r w:rsidRPr="006328EF">
        <w:rPr>
          <w:b/>
        </w:rPr>
        <w:t>Proposal 5:</w:t>
      </w:r>
      <w:r>
        <w:t xml:space="preserve"> RAN2 to discuss on the common understanding on when BWP switching would occur, and send LS to RAN4 on the agreements.</w:t>
      </w:r>
      <w:r w:rsidR="004C1DB3">
        <w:t xml:space="preserve"> Draft LS on this can be found in </w:t>
      </w:r>
      <w:hyperlink r:id="rId24" w:history="1">
        <w:r w:rsidR="004C1DB3" w:rsidRPr="004C1DB3">
          <w:rPr>
            <w:rStyle w:val="Hyperlink"/>
          </w:rPr>
          <w:t>R2-1810034</w:t>
        </w:r>
      </w:hyperlink>
      <w:r w:rsidR="004C1DB3">
        <w:t>.</w:t>
      </w:r>
    </w:p>
    <w:p w14:paraId="3F71CF21" w14:textId="01838CF7" w:rsidR="00B04F60" w:rsidRDefault="00B04F60" w:rsidP="008F66D7">
      <w:r>
        <w:t>To have a starting point, the following list indicates our understanding of when the BWP switching occurs in each case:</w:t>
      </w:r>
    </w:p>
    <w:p w14:paraId="2EC39EE5" w14:textId="4F35CB5E" w:rsidR="00B04F60" w:rsidRDefault="00B04F60" w:rsidP="006328EF">
      <w:pPr>
        <w:pStyle w:val="ListParagraph"/>
        <w:numPr>
          <w:ilvl w:val="0"/>
          <w:numId w:val="10"/>
        </w:numPr>
      </w:pPr>
      <w:r w:rsidRPr="006328EF">
        <w:rPr>
          <w:b/>
        </w:rPr>
        <w:t>Initial access (for NR SA, from IDLE/INACTIVE to CONNECTED or at re-establishment):</w:t>
      </w:r>
      <w:r>
        <w:t xml:space="preserve"> UE does BWP switching from initial BWP to first active BWP </w:t>
      </w:r>
      <w:r w:rsidR="006328EF">
        <w:t>when receiving Msg4. The BWP switching delay is included in the RRC processing delay.</w:t>
      </w:r>
    </w:p>
    <w:p w14:paraId="35AD2A20" w14:textId="4C965E7F" w:rsidR="006328EF" w:rsidRDefault="006328EF" w:rsidP="006328EF">
      <w:pPr>
        <w:pStyle w:val="ListParagraph"/>
        <w:numPr>
          <w:ilvl w:val="0"/>
          <w:numId w:val="10"/>
        </w:numPr>
      </w:pPr>
      <w:r w:rsidRPr="006328EF">
        <w:rPr>
          <w:b/>
        </w:rPr>
        <w:t>Reconfiguration with</w:t>
      </w:r>
      <w:r>
        <w:rPr>
          <w:b/>
        </w:rPr>
        <w:t>/without</w:t>
      </w:r>
      <w:r w:rsidRPr="006328EF">
        <w:rPr>
          <w:b/>
        </w:rPr>
        <w:t xml:space="preserve"> sync (including </w:t>
      </w:r>
      <w:r>
        <w:rPr>
          <w:b/>
        </w:rPr>
        <w:t xml:space="preserve">PSCell/SCell addition and </w:t>
      </w:r>
      <w:r w:rsidRPr="006328EF">
        <w:rPr>
          <w:b/>
        </w:rPr>
        <w:t xml:space="preserve">SpCell </w:t>
      </w:r>
      <w:r>
        <w:rPr>
          <w:b/>
        </w:rPr>
        <w:t xml:space="preserve">and SCell </w:t>
      </w:r>
      <w:r w:rsidRPr="006328EF">
        <w:rPr>
          <w:b/>
        </w:rPr>
        <w:t>BWP reconfiguration via RRC):</w:t>
      </w:r>
      <w:r>
        <w:t xml:space="preserve"> UE does BWP switching from initial BWP to first active BWP when receiving RRCReconfiguration. The BWP switching delay is included in the RRC processing delay.</w:t>
      </w:r>
    </w:p>
    <w:p w14:paraId="1E77ADC7" w14:textId="42F07876" w:rsidR="006328EF" w:rsidRDefault="006328EF" w:rsidP="006328EF">
      <w:r w:rsidRPr="006328EF">
        <w:rPr>
          <w:b/>
        </w:rPr>
        <w:t>Proposal 6:</w:t>
      </w:r>
      <w:r>
        <w:t xml:space="preserve"> Agree that from RAN2 viewpoint, the BWP switching delay is included in the RRC processing delay.</w:t>
      </w:r>
    </w:p>
    <w:p w14:paraId="43A12B72" w14:textId="272C2FC8" w:rsidR="00CD4C7B" w:rsidRPr="006E13D1" w:rsidRDefault="008F66D7" w:rsidP="00CD4C7B">
      <w:pPr>
        <w:pStyle w:val="Heading1"/>
      </w:pPr>
      <w:r>
        <w:t>3</w:t>
      </w:r>
      <w:r w:rsidR="00CD4C7B" w:rsidRPr="006E13D1">
        <w:tab/>
      </w:r>
      <w:r>
        <w:t>Conclusions</w:t>
      </w:r>
    </w:p>
    <w:p w14:paraId="6F8B289D" w14:textId="4B1380FE" w:rsidR="008F66D7" w:rsidRDefault="008F66D7" w:rsidP="00CD4C7B">
      <w:r>
        <w:t>We have discussed the BWP aspects common to EN-DC and SA, and observed the following:</w:t>
      </w:r>
      <w:r w:rsidR="00CD4C7B" w:rsidRPr="006E13D1">
        <w:t xml:space="preserve"> </w:t>
      </w:r>
    </w:p>
    <w:p w14:paraId="6C621F1E" w14:textId="77777777" w:rsidR="008F66D7" w:rsidRDefault="008F66D7" w:rsidP="008F66D7">
      <w:r w:rsidRPr="008F66D7">
        <w:rPr>
          <w:b/>
        </w:rPr>
        <w:t>Observation 1:</w:t>
      </w:r>
      <w:r>
        <w:t xml:space="preserve"> Option 1 seems simpler from RAN1 perspective. </w:t>
      </w:r>
    </w:p>
    <w:p w14:paraId="0B50B9DD" w14:textId="77777777" w:rsidR="008F66D7" w:rsidRDefault="008F66D7" w:rsidP="008F66D7">
      <w:r w:rsidRPr="008F66D7">
        <w:rPr>
          <w:b/>
        </w:rPr>
        <w:t>Observation 2:</w:t>
      </w:r>
      <w:r>
        <w:t xml:space="preserve"> It is not clear how many changes to RAN1 or RAN2 specifications would be needed due to Option 2.</w:t>
      </w:r>
    </w:p>
    <w:p w14:paraId="5D4F49B1" w14:textId="77777777" w:rsidR="008F66D7" w:rsidRDefault="008F66D7" w:rsidP="008F66D7">
      <w:r w:rsidRPr="008F66D7">
        <w:rPr>
          <w:b/>
        </w:rPr>
        <w:t>Observation 3:</w:t>
      </w:r>
      <w:r>
        <w:t xml:space="preserve"> Requiring reconfiguration with sync for SCell BWP change via RRC would 1) cause interruption to Pcell, 2) create extra delay due to the RRC processing delay and SCell activation delay, and 3) require gNB to activate SCells after the reconfiguration.</w:t>
      </w:r>
    </w:p>
    <w:p w14:paraId="45CB018A" w14:textId="77777777" w:rsidR="008F66D7" w:rsidRDefault="008F66D7" w:rsidP="008F66D7">
      <w:r w:rsidRPr="00BE4A05">
        <w:rPr>
          <w:b/>
        </w:rPr>
        <w:t xml:space="preserve">Proposal </w:t>
      </w:r>
      <w:r>
        <w:rPr>
          <w:b/>
        </w:rPr>
        <w:t>3</w:t>
      </w:r>
      <w:r w:rsidRPr="00BE4A05">
        <w:rPr>
          <w:b/>
        </w:rPr>
        <w:t>:</w:t>
      </w:r>
      <w:r>
        <w:t xml:space="preserve"> BWP reconfiguration via RRC for </w:t>
      </w:r>
      <w:r w:rsidRPr="00BE4A05">
        <w:rPr>
          <w:b/>
        </w:rPr>
        <w:t>SCells</w:t>
      </w:r>
      <w:r>
        <w:t xml:space="preserve"> is allowed via regular RRC reconfiguration (i.e. reconfiguration with sync is not required).</w:t>
      </w:r>
      <w:bookmarkStart w:id="0" w:name="_GoBack"/>
      <w:bookmarkEnd w:id="0"/>
    </w:p>
    <w:p w14:paraId="1806D6BD" w14:textId="77777777" w:rsidR="008F66D7" w:rsidRDefault="008F66D7" w:rsidP="008F66D7">
      <w:r>
        <w:rPr>
          <w:b/>
        </w:rPr>
        <w:t>Observation 4</w:t>
      </w:r>
      <w:r w:rsidRPr="008F66D7">
        <w:rPr>
          <w:b/>
        </w:rPr>
        <w:t>:</w:t>
      </w:r>
      <w:r>
        <w:t xml:space="preserve">  UE only performs random access towards PSCell if reconfiguration with sync is used. </w:t>
      </w:r>
    </w:p>
    <w:p w14:paraId="5968CEB3" w14:textId="77777777" w:rsidR="008F66D7" w:rsidRDefault="008F66D7" w:rsidP="008F66D7">
      <w:r>
        <w:rPr>
          <w:b/>
        </w:rPr>
        <w:t>Observation 5</w:t>
      </w:r>
      <w:r w:rsidRPr="008F66D7">
        <w:rPr>
          <w:b/>
        </w:rPr>
        <w:t>:</w:t>
      </w:r>
      <w:r>
        <w:t xml:space="preserve"> It is not clear whether UE uses initial BWP or first active BWP when accessing PSCell during EN-DC setup.</w:t>
      </w:r>
    </w:p>
    <w:p w14:paraId="0BD8FC10" w14:textId="77777777" w:rsidR="008F66D7" w:rsidRDefault="008F66D7" w:rsidP="008F66D7">
      <w:r w:rsidRPr="00422CF6">
        <w:rPr>
          <w:b/>
        </w:rPr>
        <w:t xml:space="preserve">Observation </w:t>
      </w:r>
      <w:r>
        <w:rPr>
          <w:b/>
        </w:rPr>
        <w:t>6</w:t>
      </w:r>
      <w:r w:rsidRPr="00422CF6">
        <w:rPr>
          <w:b/>
        </w:rPr>
        <w:t>:</w:t>
      </w:r>
      <w:r>
        <w:t xml:space="preserve"> It is not clear how and what the RAN4 requirements on BWP switching delay are when using RRC-based reconfiguration with sync.</w:t>
      </w:r>
    </w:p>
    <w:p w14:paraId="1E4A9F26" w14:textId="6450956B" w:rsidR="008F66D7" w:rsidRDefault="008F66D7" w:rsidP="008F66D7">
      <w:r w:rsidRPr="008F66D7">
        <w:rPr>
          <w:b/>
        </w:rPr>
        <w:t>Observation 7:</w:t>
      </w:r>
      <w:r>
        <w:t xml:space="preserve"> The BWP usages are slightly different in each procedure, which may affect the exact RAN4 requirements.</w:t>
      </w:r>
    </w:p>
    <w:p w14:paraId="2C200AF1" w14:textId="3CC833CC" w:rsidR="008F66D7" w:rsidRPr="008F66D7" w:rsidRDefault="008F66D7" w:rsidP="008F66D7">
      <w:r>
        <w:t>Based on these, we have proposed the following:</w:t>
      </w:r>
    </w:p>
    <w:p w14:paraId="1B077572" w14:textId="2FC82429" w:rsidR="008F66D7" w:rsidRDefault="008F66D7" w:rsidP="008F66D7">
      <w:r w:rsidRPr="000D6E0B">
        <w:rPr>
          <w:b/>
        </w:rPr>
        <w:t>Proposal 1:</w:t>
      </w:r>
      <w:r>
        <w:t xml:space="preserve"> Adopt Option 1 as the BWP signalling for P/SCell addition and handover</w:t>
      </w:r>
    </w:p>
    <w:p w14:paraId="08314F70" w14:textId="77777777" w:rsidR="008F66D7" w:rsidRDefault="008F66D7" w:rsidP="008F66D7">
      <w:r w:rsidRPr="008F66D7">
        <w:rPr>
          <w:b/>
        </w:rPr>
        <w:t>Proposal 2:</w:t>
      </w:r>
      <w:r>
        <w:t xml:space="preserve"> RRC should configure if UE should follow DCI indications for BWP switching based on BWPI (and this option would not be allowed to be configured for 6-1 UEs).</w:t>
      </w:r>
    </w:p>
    <w:p w14:paraId="456E8666" w14:textId="77777777" w:rsidR="002A39CF" w:rsidRDefault="002A39CF" w:rsidP="002A39CF">
      <w:r w:rsidRPr="008F66D7">
        <w:rPr>
          <w:b/>
        </w:rPr>
        <w:t>Proposal 4:</w:t>
      </w:r>
      <w:r>
        <w:t xml:space="preserve"> Clarify the condition definition of reconfiguration of sync so that it must be present also when adding SpCell.</w:t>
      </w:r>
    </w:p>
    <w:p w14:paraId="485C4723" w14:textId="5991C6F2" w:rsidR="006328EF" w:rsidRDefault="006328EF" w:rsidP="006328EF">
      <w:r w:rsidRPr="00FF1EAA">
        <w:rPr>
          <w:b/>
        </w:rPr>
        <w:t>Proposal 5:</w:t>
      </w:r>
      <w:r>
        <w:t xml:space="preserve"> RAN2 to discuss on the common understanding on when BWP switching would occur, and send LS to RAN4 on the agreements.</w:t>
      </w:r>
      <w:r w:rsidR="004C1DB3">
        <w:t xml:space="preserve"> Draft LS on this can be found in </w:t>
      </w:r>
      <w:hyperlink r:id="rId25" w:history="1">
        <w:r w:rsidR="004C1DB3" w:rsidRPr="004C1DB3">
          <w:rPr>
            <w:rStyle w:val="Hyperlink"/>
          </w:rPr>
          <w:t>R2-1810034</w:t>
        </w:r>
      </w:hyperlink>
      <w:r w:rsidR="004C1DB3">
        <w:t>.</w:t>
      </w:r>
    </w:p>
    <w:p w14:paraId="1721D578" w14:textId="77777777" w:rsidR="006328EF" w:rsidRDefault="006328EF" w:rsidP="006328EF">
      <w:r w:rsidRPr="00FF1EAA">
        <w:rPr>
          <w:b/>
        </w:rPr>
        <w:t>Proposal 6:</w:t>
      </w:r>
      <w:r>
        <w:t xml:space="preserve"> Agree that from RAN2 viewpoint, the BWP switching delay is included in the RRC processing delay.</w:t>
      </w:r>
    </w:p>
    <w:p w14:paraId="0C8884FA" w14:textId="77777777" w:rsidR="008F66D7" w:rsidRDefault="008F66D7" w:rsidP="00CD4C7B"/>
    <w:sectPr w:rsidR="008F66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9BC50" w14:textId="77777777" w:rsidR="00E73769" w:rsidRDefault="00E73769">
      <w:r>
        <w:separator/>
      </w:r>
    </w:p>
  </w:endnote>
  <w:endnote w:type="continuationSeparator" w:id="0">
    <w:p w14:paraId="79EFBAFD" w14:textId="77777777" w:rsidR="00E73769" w:rsidRDefault="00E73769">
      <w:r>
        <w:continuationSeparator/>
      </w:r>
    </w:p>
  </w:endnote>
  <w:endnote w:type="continuationNotice" w:id="1">
    <w:p w14:paraId="0AF9B4BC" w14:textId="77777777" w:rsidR="00E73769" w:rsidRDefault="00E73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B021F" w14:textId="77777777" w:rsidR="00E73769" w:rsidRDefault="00E73769">
      <w:r>
        <w:separator/>
      </w:r>
    </w:p>
  </w:footnote>
  <w:footnote w:type="continuationSeparator" w:id="0">
    <w:p w14:paraId="38ABE150" w14:textId="77777777" w:rsidR="00E73769" w:rsidRDefault="00E73769">
      <w:r>
        <w:continuationSeparator/>
      </w:r>
    </w:p>
  </w:footnote>
  <w:footnote w:type="continuationNotice" w:id="1">
    <w:p w14:paraId="62C83C18" w14:textId="77777777" w:rsidR="00E73769" w:rsidRDefault="00E737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3C3CA8"/>
    <w:multiLevelType w:val="hybridMultilevel"/>
    <w:tmpl w:val="815AC80C"/>
    <w:lvl w:ilvl="0" w:tplc="EE582C32">
      <w:start w:val="1"/>
      <w:numFmt w:val="bullet"/>
      <w:lvlText w:val="•"/>
      <w:lvlJc w:val="left"/>
      <w:pPr>
        <w:tabs>
          <w:tab w:val="num" w:pos="720"/>
        </w:tabs>
        <w:ind w:left="720" w:hanging="360"/>
      </w:pPr>
      <w:rPr>
        <w:rFonts w:ascii="Arial" w:hAnsi="Arial" w:hint="default"/>
      </w:rPr>
    </w:lvl>
    <w:lvl w:ilvl="1" w:tplc="F4502F52">
      <w:numFmt w:val="bullet"/>
      <w:lvlText w:val="•"/>
      <w:lvlJc w:val="left"/>
      <w:pPr>
        <w:tabs>
          <w:tab w:val="num" w:pos="1440"/>
        </w:tabs>
        <w:ind w:left="1440" w:hanging="360"/>
      </w:pPr>
      <w:rPr>
        <w:rFonts w:ascii="Arial" w:hAnsi="Arial" w:hint="default"/>
      </w:rPr>
    </w:lvl>
    <w:lvl w:ilvl="2" w:tplc="A30A25D0" w:tentative="1">
      <w:start w:val="1"/>
      <w:numFmt w:val="bullet"/>
      <w:lvlText w:val="•"/>
      <w:lvlJc w:val="left"/>
      <w:pPr>
        <w:tabs>
          <w:tab w:val="num" w:pos="2160"/>
        </w:tabs>
        <w:ind w:left="2160" w:hanging="360"/>
      </w:pPr>
      <w:rPr>
        <w:rFonts w:ascii="Arial" w:hAnsi="Arial" w:hint="default"/>
      </w:rPr>
    </w:lvl>
    <w:lvl w:ilvl="3" w:tplc="E1BC815C" w:tentative="1">
      <w:start w:val="1"/>
      <w:numFmt w:val="bullet"/>
      <w:lvlText w:val="•"/>
      <w:lvlJc w:val="left"/>
      <w:pPr>
        <w:tabs>
          <w:tab w:val="num" w:pos="2880"/>
        </w:tabs>
        <w:ind w:left="2880" w:hanging="360"/>
      </w:pPr>
      <w:rPr>
        <w:rFonts w:ascii="Arial" w:hAnsi="Arial" w:hint="default"/>
      </w:rPr>
    </w:lvl>
    <w:lvl w:ilvl="4" w:tplc="39AABC1A" w:tentative="1">
      <w:start w:val="1"/>
      <w:numFmt w:val="bullet"/>
      <w:lvlText w:val="•"/>
      <w:lvlJc w:val="left"/>
      <w:pPr>
        <w:tabs>
          <w:tab w:val="num" w:pos="3600"/>
        </w:tabs>
        <w:ind w:left="3600" w:hanging="360"/>
      </w:pPr>
      <w:rPr>
        <w:rFonts w:ascii="Arial" w:hAnsi="Arial" w:hint="default"/>
      </w:rPr>
    </w:lvl>
    <w:lvl w:ilvl="5" w:tplc="CDE21326" w:tentative="1">
      <w:start w:val="1"/>
      <w:numFmt w:val="bullet"/>
      <w:lvlText w:val="•"/>
      <w:lvlJc w:val="left"/>
      <w:pPr>
        <w:tabs>
          <w:tab w:val="num" w:pos="4320"/>
        </w:tabs>
        <w:ind w:left="4320" w:hanging="360"/>
      </w:pPr>
      <w:rPr>
        <w:rFonts w:ascii="Arial" w:hAnsi="Arial" w:hint="default"/>
      </w:rPr>
    </w:lvl>
    <w:lvl w:ilvl="6" w:tplc="F8187664" w:tentative="1">
      <w:start w:val="1"/>
      <w:numFmt w:val="bullet"/>
      <w:lvlText w:val="•"/>
      <w:lvlJc w:val="left"/>
      <w:pPr>
        <w:tabs>
          <w:tab w:val="num" w:pos="5040"/>
        </w:tabs>
        <w:ind w:left="5040" w:hanging="360"/>
      </w:pPr>
      <w:rPr>
        <w:rFonts w:ascii="Arial" w:hAnsi="Arial" w:hint="default"/>
      </w:rPr>
    </w:lvl>
    <w:lvl w:ilvl="7" w:tplc="7E945B52" w:tentative="1">
      <w:start w:val="1"/>
      <w:numFmt w:val="bullet"/>
      <w:lvlText w:val="•"/>
      <w:lvlJc w:val="left"/>
      <w:pPr>
        <w:tabs>
          <w:tab w:val="num" w:pos="5760"/>
        </w:tabs>
        <w:ind w:left="5760" w:hanging="360"/>
      </w:pPr>
      <w:rPr>
        <w:rFonts w:ascii="Arial" w:hAnsi="Arial" w:hint="default"/>
      </w:rPr>
    </w:lvl>
    <w:lvl w:ilvl="8" w:tplc="C400D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1D3184"/>
    <w:multiLevelType w:val="hybridMultilevel"/>
    <w:tmpl w:val="F7A89A5C"/>
    <w:lvl w:ilvl="0" w:tplc="9CD41AF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B630E9"/>
    <w:multiLevelType w:val="hybridMultilevel"/>
    <w:tmpl w:val="4FFE49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84D44CB"/>
    <w:multiLevelType w:val="hybridMultilevel"/>
    <w:tmpl w:val="D29C6A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904108"/>
    <w:multiLevelType w:val="hybridMultilevel"/>
    <w:tmpl w:val="07083F94"/>
    <w:lvl w:ilvl="0" w:tplc="69CA0242">
      <w:start w:val="1"/>
      <w:numFmt w:val="bullet"/>
      <w:lvlText w:val="•"/>
      <w:lvlJc w:val="left"/>
      <w:pPr>
        <w:tabs>
          <w:tab w:val="num" w:pos="720"/>
        </w:tabs>
        <w:ind w:left="720" w:hanging="360"/>
      </w:pPr>
      <w:rPr>
        <w:rFonts w:ascii="Arial" w:hAnsi="Arial" w:hint="default"/>
      </w:rPr>
    </w:lvl>
    <w:lvl w:ilvl="1" w:tplc="14787C0E">
      <w:numFmt w:val="bullet"/>
      <w:lvlText w:val="•"/>
      <w:lvlJc w:val="left"/>
      <w:pPr>
        <w:tabs>
          <w:tab w:val="num" w:pos="1440"/>
        </w:tabs>
        <w:ind w:left="1440" w:hanging="360"/>
      </w:pPr>
      <w:rPr>
        <w:rFonts w:ascii="Arial" w:hAnsi="Arial" w:hint="default"/>
      </w:rPr>
    </w:lvl>
    <w:lvl w:ilvl="2" w:tplc="B694D972" w:tentative="1">
      <w:start w:val="1"/>
      <w:numFmt w:val="bullet"/>
      <w:lvlText w:val="•"/>
      <w:lvlJc w:val="left"/>
      <w:pPr>
        <w:tabs>
          <w:tab w:val="num" w:pos="2160"/>
        </w:tabs>
        <w:ind w:left="2160" w:hanging="360"/>
      </w:pPr>
      <w:rPr>
        <w:rFonts w:ascii="Arial" w:hAnsi="Arial" w:hint="default"/>
      </w:rPr>
    </w:lvl>
    <w:lvl w:ilvl="3" w:tplc="8AE85116" w:tentative="1">
      <w:start w:val="1"/>
      <w:numFmt w:val="bullet"/>
      <w:lvlText w:val="•"/>
      <w:lvlJc w:val="left"/>
      <w:pPr>
        <w:tabs>
          <w:tab w:val="num" w:pos="2880"/>
        </w:tabs>
        <w:ind w:left="2880" w:hanging="360"/>
      </w:pPr>
      <w:rPr>
        <w:rFonts w:ascii="Arial" w:hAnsi="Arial" w:hint="default"/>
      </w:rPr>
    </w:lvl>
    <w:lvl w:ilvl="4" w:tplc="2E40D9DA" w:tentative="1">
      <w:start w:val="1"/>
      <w:numFmt w:val="bullet"/>
      <w:lvlText w:val="•"/>
      <w:lvlJc w:val="left"/>
      <w:pPr>
        <w:tabs>
          <w:tab w:val="num" w:pos="3600"/>
        </w:tabs>
        <w:ind w:left="3600" w:hanging="360"/>
      </w:pPr>
      <w:rPr>
        <w:rFonts w:ascii="Arial" w:hAnsi="Arial" w:hint="default"/>
      </w:rPr>
    </w:lvl>
    <w:lvl w:ilvl="5" w:tplc="43E627BC" w:tentative="1">
      <w:start w:val="1"/>
      <w:numFmt w:val="bullet"/>
      <w:lvlText w:val="•"/>
      <w:lvlJc w:val="left"/>
      <w:pPr>
        <w:tabs>
          <w:tab w:val="num" w:pos="4320"/>
        </w:tabs>
        <w:ind w:left="4320" w:hanging="360"/>
      </w:pPr>
      <w:rPr>
        <w:rFonts w:ascii="Arial" w:hAnsi="Arial" w:hint="default"/>
      </w:rPr>
    </w:lvl>
    <w:lvl w:ilvl="6" w:tplc="DCB0D734" w:tentative="1">
      <w:start w:val="1"/>
      <w:numFmt w:val="bullet"/>
      <w:lvlText w:val="•"/>
      <w:lvlJc w:val="left"/>
      <w:pPr>
        <w:tabs>
          <w:tab w:val="num" w:pos="5040"/>
        </w:tabs>
        <w:ind w:left="5040" w:hanging="360"/>
      </w:pPr>
      <w:rPr>
        <w:rFonts w:ascii="Arial" w:hAnsi="Arial" w:hint="default"/>
      </w:rPr>
    </w:lvl>
    <w:lvl w:ilvl="7" w:tplc="77B4C878" w:tentative="1">
      <w:start w:val="1"/>
      <w:numFmt w:val="bullet"/>
      <w:lvlText w:val="•"/>
      <w:lvlJc w:val="left"/>
      <w:pPr>
        <w:tabs>
          <w:tab w:val="num" w:pos="5760"/>
        </w:tabs>
        <w:ind w:left="5760" w:hanging="360"/>
      </w:pPr>
      <w:rPr>
        <w:rFonts w:ascii="Arial" w:hAnsi="Arial" w:hint="default"/>
      </w:rPr>
    </w:lvl>
    <w:lvl w:ilvl="8" w:tplc="3CA886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C64EAD"/>
    <w:multiLevelType w:val="hybridMultilevel"/>
    <w:tmpl w:val="88A8FB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7"/>
  </w:num>
  <w:num w:numId="7">
    <w:abstractNumId w:val="2"/>
  </w:num>
  <w:num w:numId="8">
    <w:abstractNumId w:val="3"/>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547B"/>
    <w:rsid w:val="00033397"/>
    <w:rsid w:val="00040095"/>
    <w:rsid w:val="000654EB"/>
    <w:rsid w:val="00075E8D"/>
    <w:rsid w:val="00080512"/>
    <w:rsid w:val="00090468"/>
    <w:rsid w:val="000B7BCF"/>
    <w:rsid w:val="000C522B"/>
    <w:rsid w:val="000D58AB"/>
    <w:rsid w:val="000D6E0B"/>
    <w:rsid w:val="000F6E95"/>
    <w:rsid w:val="00112F1A"/>
    <w:rsid w:val="00123CA3"/>
    <w:rsid w:val="0012787A"/>
    <w:rsid w:val="00145075"/>
    <w:rsid w:val="001741A0"/>
    <w:rsid w:val="00175FA0"/>
    <w:rsid w:val="00194CD0"/>
    <w:rsid w:val="001B49C9"/>
    <w:rsid w:val="001C4F79"/>
    <w:rsid w:val="001F168B"/>
    <w:rsid w:val="001F7831"/>
    <w:rsid w:val="00204045"/>
    <w:rsid w:val="0020712B"/>
    <w:rsid w:val="002249C3"/>
    <w:rsid w:val="0022606D"/>
    <w:rsid w:val="00231728"/>
    <w:rsid w:val="002610D8"/>
    <w:rsid w:val="002747EC"/>
    <w:rsid w:val="00275489"/>
    <w:rsid w:val="002855BF"/>
    <w:rsid w:val="002A39CF"/>
    <w:rsid w:val="002D636A"/>
    <w:rsid w:val="002E06FC"/>
    <w:rsid w:val="002F0D22"/>
    <w:rsid w:val="003172DC"/>
    <w:rsid w:val="003177DF"/>
    <w:rsid w:val="00325AE3"/>
    <w:rsid w:val="00326069"/>
    <w:rsid w:val="0035462D"/>
    <w:rsid w:val="00362795"/>
    <w:rsid w:val="00364B41"/>
    <w:rsid w:val="003A41EF"/>
    <w:rsid w:val="003B40AD"/>
    <w:rsid w:val="003C4E37"/>
    <w:rsid w:val="003E16BE"/>
    <w:rsid w:val="003F4E28"/>
    <w:rsid w:val="004006E8"/>
    <w:rsid w:val="00401855"/>
    <w:rsid w:val="00422CF6"/>
    <w:rsid w:val="0045378A"/>
    <w:rsid w:val="00461376"/>
    <w:rsid w:val="00473A60"/>
    <w:rsid w:val="00477455"/>
    <w:rsid w:val="00491B57"/>
    <w:rsid w:val="004A1F7B"/>
    <w:rsid w:val="004B38BF"/>
    <w:rsid w:val="004C1DB3"/>
    <w:rsid w:val="004C44D2"/>
    <w:rsid w:val="004D3578"/>
    <w:rsid w:val="004D380D"/>
    <w:rsid w:val="004E213A"/>
    <w:rsid w:val="00503171"/>
    <w:rsid w:val="00506C28"/>
    <w:rsid w:val="00532D1E"/>
    <w:rsid w:val="00534DA0"/>
    <w:rsid w:val="00543527"/>
    <w:rsid w:val="00543E6C"/>
    <w:rsid w:val="00562F0C"/>
    <w:rsid w:val="00565087"/>
    <w:rsid w:val="0056573F"/>
    <w:rsid w:val="005A052A"/>
    <w:rsid w:val="00611566"/>
    <w:rsid w:val="00615156"/>
    <w:rsid w:val="006328EF"/>
    <w:rsid w:val="00646D99"/>
    <w:rsid w:val="00656910"/>
    <w:rsid w:val="006B099E"/>
    <w:rsid w:val="006C66D8"/>
    <w:rsid w:val="006D1E24"/>
    <w:rsid w:val="006E1417"/>
    <w:rsid w:val="006F6A2C"/>
    <w:rsid w:val="00705831"/>
    <w:rsid w:val="00710201"/>
    <w:rsid w:val="007326B0"/>
    <w:rsid w:val="007342B5"/>
    <w:rsid w:val="00734A5B"/>
    <w:rsid w:val="00744E76"/>
    <w:rsid w:val="00757D40"/>
    <w:rsid w:val="00781F0F"/>
    <w:rsid w:val="0078727C"/>
    <w:rsid w:val="0079049D"/>
    <w:rsid w:val="00793DC5"/>
    <w:rsid w:val="007B18D8"/>
    <w:rsid w:val="007C095F"/>
    <w:rsid w:val="007D2ACE"/>
    <w:rsid w:val="008028A4"/>
    <w:rsid w:val="00813245"/>
    <w:rsid w:val="008219CF"/>
    <w:rsid w:val="0084157F"/>
    <w:rsid w:val="00875B03"/>
    <w:rsid w:val="008768CA"/>
    <w:rsid w:val="00877EF9"/>
    <w:rsid w:val="00880559"/>
    <w:rsid w:val="00885204"/>
    <w:rsid w:val="008B5306"/>
    <w:rsid w:val="008C1BFF"/>
    <w:rsid w:val="008C4890"/>
    <w:rsid w:val="008D2E4D"/>
    <w:rsid w:val="008E2DB6"/>
    <w:rsid w:val="008F3439"/>
    <w:rsid w:val="008F66D7"/>
    <w:rsid w:val="0090271F"/>
    <w:rsid w:val="00902DB9"/>
    <w:rsid w:val="0090466A"/>
    <w:rsid w:val="00914EF9"/>
    <w:rsid w:val="00930A26"/>
    <w:rsid w:val="00936071"/>
    <w:rsid w:val="00940212"/>
    <w:rsid w:val="00942EC2"/>
    <w:rsid w:val="009570DD"/>
    <w:rsid w:val="00960002"/>
    <w:rsid w:val="00961463"/>
    <w:rsid w:val="00961B32"/>
    <w:rsid w:val="00964D62"/>
    <w:rsid w:val="00970DB3"/>
    <w:rsid w:val="00974BB0"/>
    <w:rsid w:val="00997CC9"/>
    <w:rsid w:val="009A0AF3"/>
    <w:rsid w:val="009B07CD"/>
    <w:rsid w:val="009C19E9"/>
    <w:rsid w:val="009D74A6"/>
    <w:rsid w:val="00A10F02"/>
    <w:rsid w:val="00A12A9D"/>
    <w:rsid w:val="00A204CA"/>
    <w:rsid w:val="00A32434"/>
    <w:rsid w:val="00A53467"/>
    <w:rsid w:val="00A53724"/>
    <w:rsid w:val="00A82346"/>
    <w:rsid w:val="00A9671C"/>
    <w:rsid w:val="00AA1553"/>
    <w:rsid w:val="00AB6F78"/>
    <w:rsid w:val="00B00680"/>
    <w:rsid w:val="00B04F60"/>
    <w:rsid w:val="00B05962"/>
    <w:rsid w:val="00B15449"/>
    <w:rsid w:val="00B27303"/>
    <w:rsid w:val="00B47FD1"/>
    <w:rsid w:val="00B516BB"/>
    <w:rsid w:val="00B572CE"/>
    <w:rsid w:val="00B7180D"/>
    <w:rsid w:val="00B718E5"/>
    <w:rsid w:val="00B8416F"/>
    <w:rsid w:val="00B85FFA"/>
    <w:rsid w:val="00BC3555"/>
    <w:rsid w:val="00BE4A05"/>
    <w:rsid w:val="00BF09FB"/>
    <w:rsid w:val="00C05AC6"/>
    <w:rsid w:val="00C12B51"/>
    <w:rsid w:val="00C24650"/>
    <w:rsid w:val="00C33079"/>
    <w:rsid w:val="00C47CD1"/>
    <w:rsid w:val="00C83A13"/>
    <w:rsid w:val="00C84654"/>
    <w:rsid w:val="00C9068C"/>
    <w:rsid w:val="00C91E9B"/>
    <w:rsid w:val="00C92967"/>
    <w:rsid w:val="00CA3D0C"/>
    <w:rsid w:val="00CA654B"/>
    <w:rsid w:val="00CC4F04"/>
    <w:rsid w:val="00CD4C7B"/>
    <w:rsid w:val="00CF17DA"/>
    <w:rsid w:val="00D33BE3"/>
    <w:rsid w:val="00D3792D"/>
    <w:rsid w:val="00D55E47"/>
    <w:rsid w:val="00D62E19"/>
    <w:rsid w:val="00D67CD1"/>
    <w:rsid w:val="00D67F8F"/>
    <w:rsid w:val="00D738D6"/>
    <w:rsid w:val="00D80795"/>
    <w:rsid w:val="00D854BE"/>
    <w:rsid w:val="00D87E00"/>
    <w:rsid w:val="00D9134D"/>
    <w:rsid w:val="00D96D11"/>
    <w:rsid w:val="00DA7A03"/>
    <w:rsid w:val="00DB0DB8"/>
    <w:rsid w:val="00DB1818"/>
    <w:rsid w:val="00DC021B"/>
    <w:rsid w:val="00DC309B"/>
    <w:rsid w:val="00DC4DA2"/>
    <w:rsid w:val="00DD77FA"/>
    <w:rsid w:val="00E023BF"/>
    <w:rsid w:val="00E16597"/>
    <w:rsid w:val="00E471CF"/>
    <w:rsid w:val="00E62835"/>
    <w:rsid w:val="00E73769"/>
    <w:rsid w:val="00E77645"/>
    <w:rsid w:val="00E83697"/>
    <w:rsid w:val="00EB4E90"/>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AE66D15D-80F7-4E7D-A6F8-CD77FDF1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BF09FB"/>
    <w:pPr>
      <w:ind w:left="720"/>
      <w:contextualSpacing/>
    </w:pPr>
  </w:style>
  <w:style w:type="character" w:styleId="UnresolvedMention">
    <w:name w:val="Unresolved Mention"/>
    <w:basedOn w:val="DefaultParagraphFont"/>
    <w:rsid w:val="00B85FFA"/>
    <w:rPr>
      <w:color w:val="808080"/>
      <w:shd w:val="clear" w:color="auto" w:fill="E6E6E6"/>
    </w:rPr>
  </w:style>
  <w:style w:type="character" w:styleId="FollowedHyperlink">
    <w:name w:val="FollowedHyperlink"/>
    <w:basedOn w:val="DefaultParagraphFont"/>
    <w:rsid w:val="00B85FFA"/>
    <w:rPr>
      <w:color w:val="954F72" w:themeColor="followedHyperlink"/>
      <w:u w:val="single"/>
    </w:rPr>
  </w:style>
  <w:style w:type="character" w:styleId="CommentReference">
    <w:name w:val="annotation reference"/>
    <w:basedOn w:val="DefaultParagraphFont"/>
    <w:rsid w:val="00B572CE"/>
    <w:rPr>
      <w:sz w:val="16"/>
      <w:szCs w:val="16"/>
    </w:rPr>
  </w:style>
  <w:style w:type="paragraph" w:styleId="CommentText">
    <w:name w:val="annotation text"/>
    <w:basedOn w:val="Normal"/>
    <w:link w:val="CommentTextChar"/>
    <w:rsid w:val="00B572CE"/>
  </w:style>
  <w:style w:type="character" w:customStyle="1" w:styleId="CommentTextChar">
    <w:name w:val="Comment Text Char"/>
    <w:basedOn w:val="DefaultParagraphFont"/>
    <w:link w:val="CommentText"/>
    <w:rsid w:val="00B572CE"/>
    <w:rPr>
      <w:lang w:eastAsia="en-US"/>
    </w:rPr>
  </w:style>
  <w:style w:type="paragraph" w:styleId="CommentSubject">
    <w:name w:val="annotation subject"/>
    <w:basedOn w:val="CommentText"/>
    <w:next w:val="CommentText"/>
    <w:link w:val="CommentSubjectChar"/>
    <w:rsid w:val="00B572CE"/>
    <w:rPr>
      <w:b/>
      <w:bCs/>
    </w:rPr>
  </w:style>
  <w:style w:type="character" w:customStyle="1" w:styleId="CommentSubjectChar">
    <w:name w:val="Comment Subject Char"/>
    <w:basedOn w:val="CommentTextChar"/>
    <w:link w:val="CommentSubject"/>
    <w:rsid w:val="00B572CE"/>
    <w:rPr>
      <w:b/>
      <w:bCs/>
      <w:lang w:eastAsia="en-US"/>
    </w:rPr>
  </w:style>
  <w:style w:type="character" w:customStyle="1" w:styleId="B1Char1">
    <w:name w:val="B1 Char1"/>
    <w:link w:val="B1"/>
    <w:qFormat/>
    <w:locked/>
    <w:rsid w:val="008F66D7"/>
    <w:rPr>
      <w:lang w:eastAsia="en-US"/>
    </w:rPr>
  </w:style>
  <w:style w:type="character" w:customStyle="1" w:styleId="B2Char">
    <w:name w:val="B2 Char"/>
    <w:link w:val="B2"/>
    <w:qFormat/>
    <w:locked/>
    <w:rsid w:val="008F66D7"/>
    <w:rPr>
      <w:lang w:eastAsia="en-US"/>
    </w:rPr>
  </w:style>
  <w:style w:type="table" w:styleId="TableGrid">
    <w:name w:val="Table Grid"/>
    <w:basedOn w:val="TableNormal"/>
    <w:rsid w:val="008F66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F66D7"/>
    <w:rPr>
      <w:lang w:eastAsia="en-US"/>
    </w:rPr>
  </w:style>
  <w:style w:type="character" w:customStyle="1" w:styleId="B3Char2">
    <w:name w:val="B3 Char2"/>
    <w:link w:val="B3"/>
    <w:qFormat/>
    <w:rsid w:val="008F66D7"/>
    <w:rPr>
      <w:lang w:eastAsia="en-US"/>
    </w:rPr>
  </w:style>
  <w:style w:type="character" w:customStyle="1" w:styleId="B4Char">
    <w:name w:val="B4 Char"/>
    <w:link w:val="B4"/>
    <w:qFormat/>
    <w:rsid w:val="008F66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87343">
      <w:bodyDiv w:val="1"/>
      <w:marLeft w:val="0"/>
      <w:marRight w:val="0"/>
      <w:marTop w:val="0"/>
      <w:marBottom w:val="0"/>
      <w:divBdr>
        <w:top w:val="none" w:sz="0" w:space="0" w:color="auto"/>
        <w:left w:val="none" w:sz="0" w:space="0" w:color="auto"/>
        <w:bottom w:val="none" w:sz="0" w:space="0" w:color="auto"/>
        <w:right w:val="none" w:sz="0" w:space="0" w:color="auto"/>
      </w:divBdr>
    </w:div>
    <w:div w:id="8886116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5716352">
      <w:bodyDiv w:val="1"/>
      <w:marLeft w:val="0"/>
      <w:marRight w:val="0"/>
      <w:marTop w:val="0"/>
      <w:marBottom w:val="0"/>
      <w:divBdr>
        <w:top w:val="none" w:sz="0" w:space="0" w:color="auto"/>
        <w:left w:val="none" w:sz="0" w:space="0" w:color="auto"/>
        <w:bottom w:val="none" w:sz="0" w:space="0" w:color="auto"/>
        <w:right w:val="none" w:sz="0" w:space="0" w:color="auto"/>
      </w:divBdr>
      <w:divsChild>
        <w:div w:id="254367421">
          <w:marLeft w:val="446"/>
          <w:marRight w:val="0"/>
          <w:marTop w:val="0"/>
          <w:marBottom w:val="120"/>
          <w:divBdr>
            <w:top w:val="none" w:sz="0" w:space="0" w:color="auto"/>
            <w:left w:val="none" w:sz="0" w:space="0" w:color="auto"/>
            <w:bottom w:val="none" w:sz="0" w:space="0" w:color="auto"/>
            <w:right w:val="none" w:sz="0" w:space="0" w:color="auto"/>
          </w:divBdr>
        </w:div>
        <w:div w:id="353503601">
          <w:marLeft w:val="446"/>
          <w:marRight w:val="0"/>
          <w:marTop w:val="0"/>
          <w:marBottom w:val="120"/>
          <w:divBdr>
            <w:top w:val="none" w:sz="0" w:space="0" w:color="auto"/>
            <w:left w:val="none" w:sz="0" w:space="0" w:color="auto"/>
            <w:bottom w:val="none" w:sz="0" w:space="0" w:color="auto"/>
            <w:right w:val="none" w:sz="0" w:space="0" w:color="auto"/>
          </w:divBdr>
        </w:div>
        <w:div w:id="606036875">
          <w:marLeft w:val="446"/>
          <w:marRight w:val="0"/>
          <w:marTop w:val="0"/>
          <w:marBottom w:val="120"/>
          <w:divBdr>
            <w:top w:val="none" w:sz="0" w:space="0" w:color="auto"/>
            <w:left w:val="none" w:sz="0" w:space="0" w:color="auto"/>
            <w:bottom w:val="none" w:sz="0" w:space="0" w:color="auto"/>
            <w:right w:val="none" w:sz="0" w:space="0" w:color="auto"/>
          </w:divBdr>
        </w:div>
        <w:div w:id="864634179">
          <w:marLeft w:val="806"/>
          <w:marRight w:val="0"/>
          <w:marTop w:val="0"/>
          <w:marBottom w:val="120"/>
          <w:divBdr>
            <w:top w:val="none" w:sz="0" w:space="0" w:color="auto"/>
            <w:left w:val="none" w:sz="0" w:space="0" w:color="auto"/>
            <w:bottom w:val="none" w:sz="0" w:space="0" w:color="auto"/>
            <w:right w:val="none" w:sz="0" w:space="0" w:color="auto"/>
          </w:divBdr>
        </w:div>
        <w:div w:id="983971995">
          <w:marLeft w:val="806"/>
          <w:marRight w:val="0"/>
          <w:marTop w:val="0"/>
          <w:marBottom w:val="120"/>
          <w:divBdr>
            <w:top w:val="none" w:sz="0" w:space="0" w:color="auto"/>
            <w:left w:val="none" w:sz="0" w:space="0" w:color="auto"/>
            <w:bottom w:val="none" w:sz="0" w:space="0" w:color="auto"/>
            <w:right w:val="none" w:sz="0" w:space="0" w:color="auto"/>
          </w:divBdr>
        </w:div>
        <w:div w:id="1134328055">
          <w:marLeft w:val="806"/>
          <w:marRight w:val="0"/>
          <w:marTop w:val="0"/>
          <w:marBottom w:val="120"/>
          <w:divBdr>
            <w:top w:val="none" w:sz="0" w:space="0" w:color="auto"/>
            <w:left w:val="none" w:sz="0" w:space="0" w:color="auto"/>
            <w:bottom w:val="none" w:sz="0" w:space="0" w:color="auto"/>
            <w:right w:val="none" w:sz="0" w:space="0" w:color="auto"/>
          </w:divBdr>
        </w:div>
        <w:div w:id="1588999110">
          <w:marLeft w:val="806"/>
          <w:marRight w:val="0"/>
          <w:marTop w:val="0"/>
          <w:marBottom w:val="120"/>
          <w:divBdr>
            <w:top w:val="none" w:sz="0" w:space="0" w:color="auto"/>
            <w:left w:val="none" w:sz="0" w:space="0" w:color="auto"/>
            <w:bottom w:val="none" w:sz="0" w:space="0" w:color="auto"/>
            <w:right w:val="none" w:sz="0" w:space="0" w:color="auto"/>
          </w:divBdr>
        </w:div>
        <w:div w:id="2125994842">
          <w:marLeft w:val="446"/>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71000479">
      <w:bodyDiv w:val="1"/>
      <w:marLeft w:val="0"/>
      <w:marRight w:val="0"/>
      <w:marTop w:val="0"/>
      <w:marBottom w:val="0"/>
      <w:divBdr>
        <w:top w:val="none" w:sz="0" w:space="0" w:color="auto"/>
        <w:left w:val="none" w:sz="0" w:space="0" w:color="auto"/>
        <w:bottom w:val="none" w:sz="0" w:space="0" w:color="auto"/>
        <w:right w:val="none" w:sz="0" w:space="0" w:color="auto"/>
      </w:divBdr>
      <w:divsChild>
        <w:div w:id="105585987">
          <w:marLeft w:val="806"/>
          <w:marRight w:val="0"/>
          <w:marTop w:val="0"/>
          <w:marBottom w:val="120"/>
          <w:divBdr>
            <w:top w:val="none" w:sz="0" w:space="0" w:color="auto"/>
            <w:left w:val="none" w:sz="0" w:space="0" w:color="auto"/>
            <w:bottom w:val="none" w:sz="0" w:space="0" w:color="auto"/>
            <w:right w:val="none" w:sz="0" w:space="0" w:color="auto"/>
          </w:divBdr>
        </w:div>
        <w:div w:id="455174094">
          <w:marLeft w:val="806"/>
          <w:marRight w:val="0"/>
          <w:marTop w:val="0"/>
          <w:marBottom w:val="120"/>
          <w:divBdr>
            <w:top w:val="none" w:sz="0" w:space="0" w:color="auto"/>
            <w:left w:val="none" w:sz="0" w:space="0" w:color="auto"/>
            <w:bottom w:val="none" w:sz="0" w:space="0" w:color="auto"/>
            <w:right w:val="none" w:sz="0" w:space="0" w:color="auto"/>
          </w:divBdr>
        </w:div>
        <w:div w:id="509175125">
          <w:marLeft w:val="446"/>
          <w:marRight w:val="0"/>
          <w:marTop w:val="0"/>
          <w:marBottom w:val="120"/>
          <w:divBdr>
            <w:top w:val="none" w:sz="0" w:space="0" w:color="auto"/>
            <w:left w:val="none" w:sz="0" w:space="0" w:color="auto"/>
            <w:bottom w:val="none" w:sz="0" w:space="0" w:color="auto"/>
            <w:right w:val="none" w:sz="0" w:space="0" w:color="auto"/>
          </w:divBdr>
        </w:div>
        <w:div w:id="592664258">
          <w:marLeft w:val="806"/>
          <w:marRight w:val="0"/>
          <w:marTop w:val="0"/>
          <w:marBottom w:val="120"/>
          <w:divBdr>
            <w:top w:val="none" w:sz="0" w:space="0" w:color="auto"/>
            <w:left w:val="none" w:sz="0" w:space="0" w:color="auto"/>
            <w:bottom w:val="none" w:sz="0" w:space="0" w:color="auto"/>
            <w:right w:val="none" w:sz="0" w:space="0" w:color="auto"/>
          </w:divBdr>
        </w:div>
        <w:div w:id="1415125182">
          <w:marLeft w:val="446"/>
          <w:marRight w:val="0"/>
          <w:marTop w:val="0"/>
          <w:marBottom w:val="120"/>
          <w:divBdr>
            <w:top w:val="none" w:sz="0" w:space="0" w:color="auto"/>
            <w:left w:val="none" w:sz="0" w:space="0" w:color="auto"/>
            <w:bottom w:val="none" w:sz="0" w:space="0" w:color="auto"/>
            <w:right w:val="none" w:sz="0" w:space="0" w:color="auto"/>
          </w:divBdr>
        </w:div>
      </w:divsChild>
    </w:div>
    <w:div w:id="193758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1_RL1/TSGR1_93/Docs/R1-1807873.zip"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ftp/tsg_ran/WG2_RL2/TSGR2_102/Docs/R2-1808990.zip" TargetMode="External"/><Relationship Id="rId17" Type="http://schemas.openxmlformats.org/officeDocument/2006/relationships/image" Target="media/image2.wmf"/><Relationship Id="rId25" Type="http://schemas.openxmlformats.org/officeDocument/2006/relationships/hyperlink" Target="http://www.3gpp.org/ftp/TSG_RAN/WG2_RL2/TSGR2_AHs/2018_07_NR/Docs/R2-1810034.zip"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2_RL2/TSGR2_AHs/2018_07_NR/Docs/R2-1810034.zip" TargetMode="Externa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yperlink" Target="http://www.3gpp.org/ftp/TSG_RAN/WG2_RL2/TSGR2_AHs/2018_07_NR/Docs/R2-1810032.zip" TargetMode="Externa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DynaReport/38212.htm"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5AIRPNAIUNRU-859666464-2338</_dlc_DocId>
    <_dlc_DocIdUrl xmlns="71c5aaf6-e6ce-465b-b873-5148d2a4c105">
      <Url>https://nokia.sharepoint.com/sites/c5g/e2earch/_layouts/15/DocIdRedir.aspx?ID=5AIRPNAIUNRU-859666464-2338</Url>
      <Description>5AIRPNAIUNRU-859666464-2338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2.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3.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7D4DE-1C32-4719-B816-6FC9B2EA81A3}">
  <ds:schemaRefs>
    <ds:schemaRef ds:uri="http://purl.org/dc/terms/"/>
    <ds:schemaRef ds:uri="a3840f4f-04be-43d1-b2ef-6ff1382503c7"/>
    <ds:schemaRef ds:uri="http://purl.org/dc/dcmitype/"/>
    <ds:schemaRef ds:uri="http://schemas.microsoft.com/office/2006/documentManagement/types"/>
    <ds:schemaRef ds:uri="83f22d2f-d16e-4be6-ad4f-29fa0b067c3c"/>
    <ds:schemaRef ds:uri="3b34c8f0-1ef5-4d1e-bb66-517ce7fe7356"/>
    <ds:schemaRef ds:uri="http://schemas.microsoft.com/office/2006/metadata/properties"/>
    <ds:schemaRef ds:uri="71c5aaf6-e6ce-465b-b873-5148d2a4c105"/>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025C6DCD-70DA-41F8-A095-4E7C5EC1EA8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359</TotalTime>
  <Pages>4</Pages>
  <Words>2149</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13693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dc:description/>
  <cp:lastModifiedBy>Nokia (Tero)</cp:lastModifiedBy>
  <cp:revision>22</cp:revision>
  <dcterms:created xsi:type="dcterms:W3CDTF">2018-06-11T09:46:00Z</dcterms:created>
  <dcterms:modified xsi:type="dcterms:W3CDTF">2018-06-21T18:22:00Z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0a097418-1c94-46a1-8aba-5f25687a6aa0</vt:lpwstr>
  </property>
</Properties>
</file>